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38ADB4" w14:textId="77777777" w:rsidR="00D05239" w:rsidRPr="00C44936" w:rsidRDefault="00D05239" w:rsidP="00D05239">
      <w:pPr>
        <w:pStyle w:val="2Subheadpink"/>
        <w:rPr>
          <w:i/>
          <w:color w:val="8496B0" w:themeColor="text2" w:themeTint="99"/>
        </w:rPr>
      </w:pPr>
      <w:r w:rsidRPr="00C44936">
        <w:rPr>
          <w:noProof/>
          <w:color w:val="8496B0" w:themeColor="text2" w:themeTint="99"/>
        </w:rPr>
        <w:t>COVID catch-up premium spending: summary</w:t>
      </w: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592"/>
        <w:gridCol w:w="3003"/>
        <w:gridCol w:w="5336"/>
        <w:gridCol w:w="2349"/>
      </w:tblGrid>
      <w:tr w:rsidR="00D05239" w14:paraId="70BFE2A9" w14:textId="77777777" w:rsidTr="00F0462F">
        <w:trPr>
          <w:cantSplit/>
          <w:trHeight w:val="236"/>
          <w:tblHeader/>
        </w:trPr>
        <w:tc>
          <w:tcPr>
            <w:tcW w:w="15403" w:type="dxa"/>
            <w:gridSpan w:val="4"/>
            <w:tcBorders>
              <w:top w:val="single" w:sz="4" w:space="0" w:color="12263F"/>
              <w:left w:val="single" w:sz="4" w:space="0" w:color="12263F"/>
              <w:bottom w:val="single" w:sz="4" w:space="0" w:color="12263F"/>
              <w:right w:val="single" w:sz="4" w:space="0" w:color="12263F"/>
              <w:tl2br w:val="nil"/>
              <w:tr2bl w:val="nil"/>
            </w:tcBorders>
            <w:shd w:val="clear" w:color="auto" w:fill="D5DCE4" w:themeFill="text2" w:themeFillTint="33"/>
            <w:tcMar>
              <w:top w:w="113" w:type="dxa"/>
              <w:bottom w:w="113" w:type="dxa"/>
            </w:tcMar>
          </w:tcPr>
          <w:p w14:paraId="3A6C8890" w14:textId="77777777" w:rsidR="00D05239" w:rsidRPr="00133219" w:rsidRDefault="00D05239" w:rsidP="00F0462F">
            <w:pPr>
              <w:pStyle w:val="1bodycopy"/>
              <w:spacing w:after="0"/>
              <w:rPr>
                <w:caps/>
                <w:color w:val="F8F8F8"/>
              </w:rPr>
            </w:pPr>
            <w:r w:rsidRPr="00C44936">
              <w:rPr>
                <w:caps/>
              </w:rPr>
              <w:t>summary information</w:t>
            </w:r>
          </w:p>
        </w:tc>
      </w:tr>
      <w:tr w:rsidR="00D05239" w:rsidRPr="00D05239" w14:paraId="53BDD0B0" w14:textId="77777777" w:rsidTr="00F0462F">
        <w:trPr>
          <w:cantSplit/>
          <w:trHeight w:val="299"/>
        </w:trPr>
        <w:tc>
          <w:tcPr>
            <w:tcW w:w="4632" w:type="dxa"/>
            <w:shd w:val="clear" w:color="auto" w:fill="auto"/>
            <w:tcMar>
              <w:top w:w="113" w:type="dxa"/>
              <w:bottom w:w="113" w:type="dxa"/>
            </w:tcMar>
          </w:tcPr>
          <w:p w14:paraId="0C67723F" w14:textId="77777777" w:rsidR="00D05239" w:rsidRPr="00D05239" w:rsidRDefault="00D05239" w:rsidP="00F0462F">
            <w:pPr>
              <w:pStyle w:val="7Tablebodycopy"/>
              <w:rPr>
                <w:sz w:val="24"/>
              </w:rPr>
            </w:pPr>
            <w:r w:rsidRPr="00D05239">
              <w:rPr>
                <w:sz w:val="24"/>
              </w:rPr>
              <w:t>Total number of pupils:</w:t>
            </w:r>
          </w:p>
        </w:tc>
        <w:tc>
          <w:tcPr>
            <w:tcW w:w="3017" w:type="dxa"/>
            <w:shd w:val="clear" w:color="auto" w:fill="auto"/>
            <w:tcMar>
              <w:top w:w="113" w:type="dxa"/>
              <w:bottom w:w="113" w:type="dxa"/>
            </w:tcMar>
          </w:tcPr>
          <w:p w14:paraId="7796904F" w14:textId="61FCAC60" w:rsidR="00D05239" w:rsidRPr="00D05239" w:rsidRDefault="00D05239" w:rsidP="00F0462F">
            <w:pPr>
              <w:pStyle w:val="7Tablebodycopy"/>
              <w:rPr>
                <w:sz w:val="24"/>
              </w:rPr>
            </w:pPr>
            <w:r w:rsidRPr="00D05239">
              <w:rPr>
                <w:sz w:val="24"/>
              </w:rPr>
              <w:t>55 at Darley / 70 at Summerbridge</w:t>
            </w:r>
          </w:p>
        </w:tc>
        <w:tc>
          <w:tcPr>
            <w:tcW w:w="5385" w:type="dxa"/>
          </w:tcPr>
          <w:p w14:paraId="662B1418" w14:textId="77777777" w:rsidR="00D05239" w:rsidRPr="00D05239" w:rsidRDefault="00D05239" w:rsidP="00F0462F">
            <w:pPr>
              <w:pStyle w:val="7Tablebodycopy"/>
              <w:rPr>
                <w:sz w:val="24"/>
              </w:rPr>
            </w:pPr>
            <w:r w:rsidRPr="00D05239">
              <w:rPr>
                <w:sz w:val="24"/>
              </w:rPr>
              <w:t>Amount of catch-up premium received per pupil:</w:t>
            </w:r>
          </w:p>
        </w:tc>
        <w:tc>
          <w:tcPr>
            <w:tcW w:w="2369" w:type="dxa"/>
            <w:shd w:val="clear" w:color="auto" w:fill="auto"/>
            <w:tcMar>
              <w:top w:w="113" w:type="dxa"/>
              <w:bottom w:w="113" w:type="dxa"/>
            </w:tcMar>
          </w:tcPr>
          <w:p w14:paraId="1DAEBE0E" w14:textId="6064EA68" w:rsidR="00D05239" w:rsidRPr="00D05239" w:rsidRDefault="00D05239" w:rsidP="00F0462F">
            <w:pPr>
              <w:pStyle w:val="7Tablebodycopy"/>
              <w:rPr>
                <w:sz w:val="24"/>
              </w:rPr>
            </w:pPr>
            <w:r w:rsidRPr="00D05239">
              <w:rPr>
                <w:sz w:val="24"/>
              </w:rPr>
              <w:t>£80</w:t>
            </w:r>
          </w:p>
        </w:tc>
      </w:tr>
      <w:tr w:rsidR="00D05239" w:rsidRPr="00D05239" w14:paraId="669D1BA7" w14:textId="77777777" w:rsidTr="00F0462F">
        <w:trPr>
          <w:cantSplit/>
          <w:trHeight w:val="314"/>
        </w:trPr>
        <w:tc>
          <w:tcPr>
            <w:tcW w:w="4632" w:type="dxa"/>
            <w:shd w:val="clear" w:color="auto" w:fill="auto"/>
            <w:tcMar>
              <w:top w:w="113" w:type="dxa"/>
              <w:bottom w:w="113" w:type="dxa"/>
            </w:tcMar>
          </w:tcPr>
          <w:p w14:paraId="33FBD338" w14:textId="77777777" w:rsidR="00D05239" w:rsidRPr="00D05239" w:rsidRDefault="00D05239" w:rsidP="00F0462F">
            <w:pPr>
              <w:pStyle w:val="7Tablebodycopy"/>
              <w:rPr>
                <w:sz w:val="24"/>
              </w:rPr>
            </w:pPr>
            <w:r w:rsidRPr="00D05239">
              <w:rPr>
                <w:sz w:val="24"/>
              </w:rPr>
              <w:t>Total catch-up premium budget:</w:t>
            </w:r>
          </w:p>
        </w:tc>
        <w:tc>
          <w:tcPr>
            <w:tcW w:w="3017" w:type="dxa"/>
            <w:shd w:val="clear" w:color="auto" w:fill="auto"/>
            <w:tcMar>
              <w:top w:w="113" w:type="dxa"/>
              <w:bottom w:w="113" w:type="dxa"/>
            </w:tcMar>
          </w:tcPr>
          <w:p w14:paraId="5EE2D8AB" w14:textId="60D7C596" w:rsidR="00D05239" w:rsidRPr="00D05239" w:rsidRDefault="00D05239" w:rsidP="00F0462F">
            <w:pPr>
              <w:pStyle w:val="7Tablebodycopy"/>
              <w:rPr>
                <w:sz w:val="24"/>
              </w:rPr>
            </w:pPr>
            <w:r w:rsidRPr="00D05239">
              <w:rPr>
                <w:sz w:val="24"/>
              </w:rPr>
              <w:t>£9,300</w:t>
            </w:r>
          </w:p>
        </w:tc>
        <w:tc>
          <w:tcPr>
            <w:tcW w:w="5385" w:type="dxa"/>
          </w:tcPr>
          <w:p w14:paraId="3F9F0358" w14:textId="77777777" w:rsidR="00D05239" w:rsidRPr="00D05239" w:rsidRDefault="00D05239" w:rsidP="00F0462F">
            <w:pPr>
              <w:pStyle w:val="7Tablebodycopy"/>
              <w:rPr>
                <w:sz w:val="24"/>
              </w:rPr>
            </w:pPr>
          </w:p>
        </w:tc>
        <w:tc>
          <w:tcPr>
            <w:tcW w:w="2369" w:type="dxa"/>
            <w:shd w:val="clear" w:color="auto" w:fill="auto"/>
            <w:tcMar>
              <w:top w:w="113" w:type="dxa"/>
              <w:bottom w:w="113" w:type="dxa"/>
            </w:tcMar>
          </w:tcPr>
          <w:p w14:paraId="52501E09" w14:textId="77777777" w:rsidR="00D05239" w:rsidRPr="00D05239" w:rsidRDefault="00D05239" w:rsidP="00F0462F">
            <w:pPr>
              <w:pStyle w:val="7Tablebodycopy"/>
              <w:rPr>
                <w:sz w:val="24"/>
              </w:rPr>
            </w:pPr>
          </w:p>
        </w:tc>
      </w:tr>
    </w:tbl>
    <w:p w14:paraId="343AD473" w14:textId="77777777" w:rsidR="00D05239" w:rsidRPr="00D05239" w:rsidRDefault="00D05239" w:rsidP="00D05239">
      <w:pPr>
        <w:pStyle w:val="3Bulletedcopyblue"/>
        <w:numPr>
          <w:ilvl w:val="0"/>
          <w:numId w:val="0"/>
        </w:numPr>
        <w:rPr>
          <w:sz w:val="24"/>
          <w:szCs w:val="24"/>
          <w:highlight w:val="yellow"/>
          <w:lang w:val="en-GB" w:eastAsia="en-GB"/>
        </w:rPr>
      </w:pPr>
    </w:p>
    <w:p w14:paraId="4FF50024" w14:textId="77777777" w:rsidR="00D05239" w:rsidRPr="00D05239" w:rsidRDefault="00D05239" w:rsidP="00D05239">
      <w:pPr>
        <w:pStyle w:val="3Bulletedcopyblue"/>
        <w:numPr>
          <w:ilvl w:val="0"/>
          <w:numId w:val="0"/>
        </w:numPr>
        <w:ind w:left="340" w:hanging="170"/>
        <w:rPr>
          <w:sz w:val="24"/>
          <w:szCs w:val="24"/>
          <w:highlight w:val="yellow"/>
          <w:lang w:val="en-GB" w:eastAsia="en-GB"/>
        </w:rPr>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5280"/>
      </w:tblGrid>
      <w:tr w:rsidR="00D05239" w:rsidRPr="00D05239" w14:paraId="4E8CAD1A" w14:textId="77777777" w:rsidTr="00F0462F">
        <w:trPr>
          <w:cantSplit/>
          <w:trHeight w:val="197"/>
          <w:tblHeader/>
        </w:trPr>
        <w:tc>
          <w:tcPr>
            <w:tcW w:w="15422" w:type="dxa"/>
            <w:tcBorders>
              <w:top w:val="single" w:sz="4" w:space="0" w:color="12263F"/>
              <w:left w:val="single" w:sz="4" w:space="0" w:color="12263F"/>
              <w:bottom w:val="single" w:sz="4" w:space="0" w:color="12263F"/>
              <w:right w:val="single" w:sz="4" w:space="0" w:color="12263F"/>
              <w:tl2br w:val="nil"/>
              <w:tr2bl w:val="nil"/>
            </w:tcBorders>
            <w:shd w:val="clear" w:color="auto" w:fill="D5DCE4" w:themeFill="text2" w:themeFillTint="33"/>
            <w:tcMar>
              <w:top w:w="113" w:type="dxa"/>
              <w:bottom w:w="113" w:type="dxa"/>
            </w:tcMar>
          </w:tcPr>
          <w:p w14:paraId="0513400C" w14:textId="77777777" w:rsidR="00D05239" w:rsidRPr="00D05239" w:rsidRDefault="00D05239" w:rsidP="00F0462F">
            <w:pPr>
              <w:pStyle w:val="1bodycopy"/>
              <w:spacing w:after="0"/>
              <w:rPr>
                <w:caps/>
                <w:color w:val="F8F8F8"/>
                <w:sz w:val="24"/>
              </w:rPr>
            </w:pPr>
            <w:r w:rsidRPr="00D05239">
              <w:rPr>
                <w:caps/>
                <w:sz w:val="24"/>
              </w:rPr>
              <w:t>strategy statement</w:t>
            </w:r>
          </w:p>
        </w:tc>
      </w:tr>
      <w:tr w:rsidR="00D05239" w:rsidRPr="00D05239" w14:paraId="1E601543" w14:textId="77777777" w:rsidTr="00F0462F">
        <w:trPr>
          <w:cantSplit/>
          <w:trHeight w:val="1562"/>
        </w:trPr>
        <w:tc>
          <w:tcPr>
            <w:tcW w:w="15422" w:type="dxa"/>
            <w:shd w:val="clear" w:color="auto" w:fill="auto"/>
            <w:tcMar>
              <w:top w:w="113" w:type="dxa"/>
              <w:bottom w:w="113" w:type="dxa"/>
            </w:tcMar>
          </w:tcPr>
          <w:p w14:paraId="3359FD88" w14:textId="3F7D6789" w:rsidR="00D05239" w:rsidRPr="00D05239" w:rsidRDefault="00D05239" w:rsidP="00D05239">
            <w:pPr>
              <w:pStyle w:val="7Tablecopybulleted"/>
              <w:numPr>
                <w:ilvl w:val="0"/>
                <w:numId w:val="0"/>
              </w:numPr>
              <w:rPr>
                <w:sz w:val="24"/>
                <w:highlight w:val="yellow"/>
              </w:rPr>
            </w:pPr>
            <w:r w:rsidRPr="00D05239">
              <w:rPr>
                <w:sz w:val="24"/>
              </w:rPr>
              <w:t>The federation strategy is based upon supporting those children whose learning, due to lockdown, has significantly suffered and as such they have fallen behind where the school would ordinarily expect them to be had they remained in school throughout.  This strategy will demonstrate how the federation has identified those children in need of additional support, how that support will be delivered and what the impact of the support will be.  It must be noted that children who have been identified as requiring additional support are not specifically children with SEND.</w:t>
            </w:r>
          </w:p>
        </w:tc>
      </w:tr>
    </w:tbl>
    <w:p w14:paraId="671C706C" w14:textId="77777777" w:rsidR="00D05239" w:rsidRPr="00C44936" w:rsidRDefault="00D05239" w:rsidP="00D05239">
      <w:pPr>
        <w:pStyle w:val="2Subheadpink"/>
        <w:rPr>
          <w:color w:val="8496B0" w:themeColor="text2" w:themeTint="99"/>
        </w:rPr>
      </w:pPr>
      <w:r w:rsidRPr="00C44936">
        <w:rPr>
          <w:color w:val="8496B0" w:themeColor="text2" w:themeTint="99"/>
        </w:rPr>
        <w:t>Barriers to learning</w:t>
      </w:r>
    </w:p>
    <w:p w14:paraId="35F70443" w14:textId="47A625C9" w:rsidR="00D05239" w:rsidRDefault="00D05239" w:rsidP="00D05239">
      <w:pPr>
        <w:pStyle w:val="3Bulletedcopyblue"/>
        <w:numPr>
          <w:ilvl w:val="0"/>
          <w:numId w:val="0"/>
        </w:numPr>
        <w:ind w:left="340" w:right="284" w:hanging="170"/>
        <w:rPr>
          <w:sz w:val="24"/>
          <w:szCs w:val="24"/>
        </w:rPr>
      </w:pPr>
      <w:r w:rsidRPr="00D05239">
        <w:rPr>
          <w:sz w:val="24"/>
          <w:szCs w:val="24"/>
        </w:rPr>
        <w:t>Barrie</w:t>
      </w:r>
      <w:r>
        <w:rPr>
          <w:sz w:val="24"/>
          <w:szCs w:val="24"/>
        </w:rPr>
        <w:t>rs to learning in our federation include (but not exclusively)</w:t>
      </w:r>
      <w:r w:rsidR="00BE1B44">
        <w:rPr>
          <w:sz w:val="24"/>
          <w:szCs w:val="24"/>
        </w:rPr>
        <w:t>:</w:t>
      </w:r>
    </w:p>
    <w:p w14:paraId="244B6905" w14:textId="5DAC1510" w:rsidR="00D05239" w:rsidRDefault="00D05239" w:rsidP="00D05239">
      <w:pPr>
        <w:pStyle w:val="3Bulletedcopyblue"/>
        <w:numPr>
          <w:ilvl w:val="0"/>
          <w:numId w:val="0"/>
        </w:numPr>
        <w:ind w:left="340" w:right="284" w:hanging="170"/>
        <w:rPr>
          <w:sz w:val="24"/>
          <w:szCs w:val="24"/>
        </w:rPr>
      </w:pPr>
      <w:r>
        <w:rPr>
          <w:sz w:val="24"/>
          <w:szCs w:val="24"/>
        </w:rPr>
        <w:t>Poor parental input / support</w:t>
      </w:r>
      <w:r w:rsidR="00BE1B44">
        <w:rPr>
          <w:sz w:val="24"/>
          <w:szCs w:val="24"/>
        </w:rPr>
        <w:t xml:space="preserve"> during lockdown</w:t>
      </w:r>
    </w:p>
    <w:p w14:paraId="1663020E" w14:textId="13D110A9" w:rsidR="00D05239" w:rsidRDefault="00D05239" w:rsidP="00D05239">
      <w:pPr>
        <w:pStyle w:val="3Bulletedcopyblue"/>
        <w:numPr>
          <w:ilvl w:val="0"/>
          <w:numId w:val="0"/>
        </w:numPr>
        <w:ind w:left="340" w:right="284" w:hanging="170"/>
        <w:rPr>
          <w:sz w:val="24"/>
          <w:szCs w:val="24"/>
        </w:rPr>
      </w:pPr>
      <w:r>
        <w:rPr>
          <w:sz w:val="24"/>
          <w:szCs w:val="24"/>
        </w:rPr>
        <w:t xml:space="preserve">Lack of </w:t>
      </w:r>
      <w:r w:rsidR="00BE1B44">
        <w:rPr>
          <w:sz w:val="24"/>
          <w:szCs w:val="24"/>
        </w:rPr>
        <w:t>working memory capacity</w:t>
      </w:r>
    </w:p>
    <w:p w14:paraId="5678EFF8" w14:textId="5D90F728" w:rsidR="00BE1B44" w:rsidRDefault="00BE1B44" w:rsidP="00D05239">
      <w:pPr>
        <w:pStyle w:val="3Bulletedcopyblue"/>
        <w:numPr>
          <w:ilvl w:val="0"/>
          <w:numId w:val="0"/>
        </w:numPr>
        <w:ind w:left="340" w:right="284" w:hanging="170"/>
        <w:rPr>
          <w:sz w:val="24"/>
          <w:szCs w:val="24"/>
        </w:rPr>
      </w:pPr>
      <w:r>
        <w:rPr>
          <w:sz w:val="24"/>
          <w:szCs w:val="24"/>
        </w:rPr>
        <w:t>Losing the support of a regular routine</w:t>
      </w:r>
    </w:p>
    <w:p w14:paraId="1D66AE6C" w14:textId="793A295F" w:rsidR="00BE1B44" w:rsidRDefault="00BE1B44" w:rsidP="00D05239">
      <w:pPr>
        <w:pStyle w:val="3Bulletedcopyblue"/>
        <w:numPr>
          <w:ilvl w:val="0"/>
          <w:numId w:val="0"/>
        </w:numPr>
        <w:ind w:left="340" w:right="284" w:hanging="170"/>
        <w:rPr>
          <w:sz w:val="24"/>
          <w:szCs w:val="24"/>
        </w:rPr>
      </w:pPr>
      <w:r>
        <w:rPr>
          <w:sz w:val="24"/>
          <w:szCs w:val="24"/>
        </w:rPr>
        <w:t>Anxiety surrounding COVID and the impact it may have on their and their family member’s health</w:t>
      </w:r>
    </w:p>
    <w:p w14:paraId="475217AC" w14:textId="4C047373" w:rsidR="00BE1B44" w:rsidRDefault="00BE1B44" w:rsidP="00D05239">
      <w:pPr>
        <w:pStyle w:val="3Bulletedcopyblue"/>
        <w:numPr>
          <w:ilvl w:val="0"/>
          <w:numId w:val="0"/>
        </w:numPr>
        <w:ind w:left="340" w:right="284" w:hanging="170"/>
        <w:rPr>
          <w:sz w:val="24"/>
          <w:szCs w:val="24"/>
        </w:rPr>
      </w:pPr>
      <w:r>
        <w:rPr>
          <w:sz w:val="24"/>
          <w:szCs w:val="24"/>
        </w:rPr>
        <w:t xml:space="preserve">Lack of availability of technology at home – </w:t>
      </w:r>
      <w:proofErr w:type="spellStart"/>
      <w:r>
        <w:rPr>
          <w:sz w:val="24"/>
          <w:szCs w:val="24"/>
        </w:rPr>
        <w:t>eg.</w:t>
      </w:r>
      <w:proofErr w:type="spellEnd"/>
      <w:r>
        <w:rPr>
          <w:sz w:val="24"/>
          <w:szCs w:val="24"/>
        </w:rPr>
        <w:t xml:space="preserve"> parents need their own devices for their own work</w:t>
      </w:r>
    </w:p>
    <w:p w14:paraId="65040FA6" w14:textId="77777777" w:rsidR="00BE1B44" w:rsidRDefault="00BE1B44" w:rsidP="00D05239">
      <w:pPr>
        <w:pStyle w:val="3Bulletedcopyblue"/>
        <w:numPr>
          <w:ilvl w:val="0"/>
          <w:numId w:val="0"/>
        </w:numPr>
        <w:ind w:left="340" w:right="284" w:hanging="170"/>
        <w:rPr>
          <w:sz w:val="24"/>
          <w:szCs w:val="24"/>
        </w:rPr>
      </w:pPr>
      <w:r>
        <w:rPr>
          <w:sz w:val="24"/>
          <w:szCs w:val="24"/>
        </w:rPr>
        <w:t>Reduction in challenge of work sent home – work had to be set that could be done independently by the children to allow parents to work</w:t>
      </w:r>
    </w:p>
    <w:p w14:paraId="2490E06D" w14:textId="29C0436A" w:rsidR="00D05239" w:rsidRPr="00BE1B44" w:rsidRDefault="00BE1B44" w:rsidP="00BE1B44">
      <w:pPr>
        <w:pStyle w:val="3Bulletedcopyblue"/>
        <w:numPr>
          <w:ilvl w:val="0"/>
          <w:numId w:val="0"/>
        </w:numPr>
        <w:ind w:left="340" w:right="284" w:hanging="170"/>
        <w:rPr>
          <w:sz w:val="24"/>
          <w:szCs w:val="24"/>
        </w:rPr>
      </w:pPr>
      <w:r>
        <w:rPr>
          <w:sz w:val="24"/>
          <w:szCs w:val="24"/>
        </w:rPr>
        <w:t xml:space="preserve">Lack of skill in parents to deliver quality lessons </w:t>
      </w: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016"/>
        <w:gridCol w:w="14264"/>
      </w:tblGrid>
      <w:tr w:rsidR="00D05239" w:rsidRPr="0053077F" w14:paraId="13367FDB" w14:textId="77777777" w:rsidTr="00F0462F">
        <w:trPr>
          <w:cantSplit/>
          <w:trHeight w:val="230"/>
        </w:trPr>
        <w:tc>
          <w:tcPr>
            <w:tcW w:w="15492" w:type="dxa"/>
            <w:gridSpan w:val="2"/>
            <w:tcBorders>
              <w:top w:val="single" w:sz="4" w:space="0" w:color="12263F"/>
              <w:left w:val="single" w:sz="4" w:space="0" w:color="12263F"/>
              <w:bottom w:val="single" w:sz="4" w:space="0" w:color="12263F"/>
              <w:right w:val="single" w:sz="4" w:space="0" w:color="12263F"/>
              <w:tl2br w:val="nil"/>
              <w:tr2bl w:val="nil"/>
            </w:tcBorders>
            <w:shd w:val="clear" w:color="auto" w:fill="ACB9CA" w:themeFill="text2" w:themeFillTint="66"/>
            <w:tcMar>
              <w:top w:w="113" w:type="dxa"/>
              <w:bottom w:w="113" w:type="dxa"/>
            </w:tcMar>
          </w:tcPr>
          <w:p w14:paraId="64FE84B8" w14:textId="77777777" w:rsidR="00D05239" w:rsidRPr="0053077F" w:rsidRDefault="00D05239" w:rsidP="00F0462F">
            <w:pPr>
              <w:pStyle w:val="1bodycopy"/>
              <w:spacing w:after="0"/>
              <w:rPr>
                <w:rFonts w:cs="Arial"/>
                <w:caps/>
                <w:sz w:val="24"/>
              </w:rPr>
            </w:pPr>
            <w:r w:rsidRPr="0053077F">
              <w:rPr>
                <w:rFonts w:cs="Arial"/>
                <w:caps/>
                <w:sz w:val="24"/>
              </w:rPr>
              <w:lastRenderedPageBreak/>
              <w:t>barriers to future attainment</w:t>
            </w:r>
          </w:p>
        </w:tc>
      </w:tr>
      <w:tr w:rsidR="00D05239" w:rsidRPr="0053077F" w14:paraId="50E4BBCB" w14:textId="77777777" w:rsidTr="00F0462F">
        <w:trPr>
          <w:cantSplit/>
          <w:trHeight w:val="352"/>
        </w:trPr>
        <w:tc>
          <w:tcPr>
            <w:tcW w:w="15492" w:type="dxa"/>
            <w:gridSpan w:val="2"/>
            <w:shd w:val="clear" w:color="auto" w:fill="D5DCE4" w:themeFill="text2" w:themeFillTint="33"/>
            <w:tcMar>
              <w:top w:w="113" w:type="dxa"/>
              <w:bottom w:w="113" w:type="dxa"/>
            </w:tcMar>
          </w:tcPr>
          <w:p w14:paraId="2CD3B573" w14:textId="48380FBB" w:rsidR="00D05239" w:rsidRPr="0053077F" w:rsidRDefault="00D05239" w:rsidP="00F0462F">
            <w:pPr>
              <w:pStyle w:val="7Tablebodybulleted"/>
              <w:numPr>
                <w:ilvl w:val="0"/>
                <w:numId w:val="0"/>
              </w:numPr>
              <w:rPr>
                <w:rFonts w:cs="Arial"/>
                <w:i/>
                <w:sz w:val="24"/>
              </w:rPr>
            </w:pPr>
            <w:r w:rsidRPr="0053077F">
              <w:rPr>
                <w:rFonts w:cs="Arial"/>
                <w:sz w:val="24"/>
              </w:rPr>
              <w:t xml:space="preserve">Academic barriers: </w:t>
            </w:r>
          </w:p>
        </w:tc>
      </w:tr>
      <w:tr w:rsidR="00D05239" w:rsidRPr="0053077F" w14:paraId="61D2B42B" w14:textId="77777777" w:rsidTr="00F0462F">
        <w:trPr>
          <w:cantSplit/>
          <w:trHeight w:val="352"/>
        </w:trPr>
        <w:tc>
          <w:tcPr>
            <w:tcW w:w="1022" w:type="dxa"/>
            <w:shd w:val="clear" w:color="auto" w:fill="auto"/>
            <w:tcMar>
              <w:top w:w="113" w:type="dxa"/>
              <w:bottom w:w="113" w:type="dxa"/>
            </w:tcMar>
          </w:tcPr>
          <w:p w14:paraId="72052B5E" w14:textId="77777777" w:rsidR="00D05239" w:rsidRPr="0053077F" w:rsidRDefault="00D05239" w:rsidP="00F0462F">
            <w:pPr>
              <w:pStyle w:val="7Tablebodybulleted"/>
              <w:numPr>
                <w:ilvl w:val="0"/>
                <w:numId w:val="0"/>
              </w:numPr>
              <w:rPr>
                <w:rFonts w:cs="Arial"/>
                <w:sz w:val="24"/>
                <w:highlight w:val="yellow"/>
              </w:rPr>
            </w:pPr>
            <w:r w:rsidRPr="0053077F">
              <w:rPr>
                <w:rFonts w:cs="Arial"/>
                <w:sz w:val="24"/>
              </w:rPr>
              <w:t>A</w:t>
            </w:r>
          </w:p>
        </w:tc>
        <w:tc>
          <w:tcPr>
            <w:tcW w:w="14470" w:type="dxa"/>
            <w:shd w:val="clear" w:color="auto" w:fill="auto"/>
          </w:tcPr>
          <w:p w14:paraId="4B5DA012" w14:textId="0BD27DBB" w:rsidR="00D05239" w:rsidRPr="0053077F" w:rsidRDefault="00BE1B44" w:rsidP="00F0462F">
            <w:pPr>
              <w:pStyle w:val="7Tablebodycopy"/>
              <w:rPr>
                <w:rFonts w:cs="Arial"/>
                <w:sz w:val="24"/>
              </w:rPr>
            </w:pPr>
            <w:r w:rsidRPr="0053077F">
              <w:rPr>
                <w:rFonts w:cs="Arial"/>
                <w:sz w:val="24"/>
              </w:rPr>
              <w:t>Some children managed to maintain expected standards whereas others did not, so lesson content has to be adapted to ensure all children access learning.  This has widened the attainment gap in not just the core subjects but in all subjects.</w:t>
            </w:r>
          </w:p>
        </w:tc>
      </w:tr>
      <w:tr w:rsidR="00D05239" w:rsidRPr="0053077F" w14:paraId="4CE9F6A8" w14:textId="77777777" w:rsidTr="00F0462F">
        <w:trPr>
          <w:cantSplit/>
          <w:trHeight w:val="291"/>
        </w:trPr>
        <w:tc>
          <w:tcPr>
            <w:tcW w:w="1022" w:type="dxa"/>
            <w:shd w:val="clear" w:color="auto" w:fill="auto"/>
            <w:tcMar>
              <w:top w:w="113" w:type="dxa"/>
              <w:bottom w:w="113" w:type="dxa"/>
            </w:tcMar>
          </w:tcPr>
          <w:p w14:paraId="6B56C975" w14:textId="77777777" w:rsidR="00D05239" w:rsidRPr="0053077F" w:rsidRDefault="00D05239" w:rsidP="00F0462F">
            <w:pPr>
              <w:pStyle w:val="7Tablebodycopy"/>
              <w:rPr>
                <w:rFonts w:cs="Arial"/>
                <w:sz w:val="24"/>
              </w:rPr>
            </w:pPr>
            <w:r w:rsidRPr="0053077F">
              <w:rPr>
                <w:rFonts w:cs="Arial"/>
                <w:sz w:val="24"/>
              </w:rPr>
              <w:t>B</w:t>
            </w:r>
          </w:p>
        </w:tc>
        <w:tc>
          <w:tcPr>
            <w:tcW w:w="14470" w:type="dxa"/>
            <w:shd w:val="clear" w:color="auto" w:fill="auto"/>
            <w:tcMar>
              <w:top w:w="113" w:type="dxa"/>
              <w:bottom w:w="113" w:type="dxa"/>
            </w:tcMar>
          </w:tcPr>
          <w:p w14:paraId="7B7B86A9" w14:textId="75528EAB" w:rsidR="00D05239" w:rsidRPr="0053077F" w:rsidRDefault="00BE1B44" w:rsidP="00F0462F">
            <w:pPr>
              <w:pStyle w:val="7Tablebodycopy"/>
              <w:rPr>
                <w:rFonts w:cs="Arial"/>
                <w:sz w:val="24"/>
              </w:rPr>
            </w:pPr>
            <w:r w:rsidRPr="0053077F">
              <w:rPr>
                <w:rFonts w:cs="Arial"/>
                <w:sz w:val="24"/>
              </w:rPr>
              <w:t xml:space="preserve">An adapted curriculum based on online content has reduced our ability as a school to provide a bespoke and personalised curriculum as was the case before lockdown. </w:t>
            </w:r>
          </w:p>
        </w:tc>
      </w:tr>
      <w:tr w:rsidR="00D05239" w:rsidRPr="0053077F" w14:paraId="31DA77E0" w14:textId="77777777" w:rsidTr="00F0462F">
        <w:trPr>
          <w:cantSplit/>
          <w:trHeight w:val="306"/>
        </w:trPr>
        <w:tc>
          <w:tcPr>
            <w:tcW w:w="1022" w:type="dxa"/>
            <w:shd w:val="clear" w:color="auto" w:fill="auto"/>
            <w:tcMar>
              <w:top w:w="113" w:type="dxa"/>
              <w:bottom w:w="113" w:type="dxa"/>
            </w:tcMar>
          </w:tcPr>
          <w:p w14:paraId="46A86F36" w14:textId="77777777" w:rsidR="00D05239" w:rsidRPr="0053077F" w:rsidRDefault="00D05239" w:rsidP="00F0462F">
            <w:pPr>
              <w:pStyle w:val="7Tablebodycopy"/>
              <w:rPr>
                <w:rFonts w:cs="Arial"/>
                <w:sz w:val="24"/>
              </w:rPr>
            </w:pPr>
            <w:r w:rsidRPr="0053077F">
              <w:rPr>
                <w:rFonts w:cs="Arial"/>
                <w:sz w:val="24"/>
              </w:rPr>
              <w:t>C</w:t>
            </w:r>
          </w:p>
        </w:tc>
        <w:tc>
          <w:tcPr>
            <w:tcW w:w="14470" w:type="dxa"/>
            <w:shd w:val="clear" w:color="auto" w:fill="auto"/>
            <w:tcMar>
              <w:top w:w="113" w:type="dxa"/>
              <w:bottom w:w="113" w:type="dxa"/>
            </w:tcMar>
          </w:tcPr>
          <w:p w14:paraId="46BF3ED6" w14:textId="218A0D97" w:rsidR="00D05239" w:rsidRPr="0053077F" w:rsidRDefault="00BE1B44" w:rsidP="00F0462F">
            <w:pPr>
              <w:pStyle w:val="7Tablebodycopy"/>
              <w:rPr>
                <w:rFonts w:cs="Arial"/>
                <w:sz w:val="24"/>
              </w:rPr>
            </w:pPr>
            <w:r w:rsidRPr="0053077F">
              <w:rPr>
                <w:rFonts w:cs="Arial"/>
                <w:sz w:val="24"/>
              </w:rPr>
              <w:t xml:space="preserve">Seating arrangements in classrooms mean that children cannot collaborate or share ideas as they once </w:t>
            </w:r>
            <w:proofErr w:type="gramStart"/>
            <w:r w:rsidRPr="0053077F">
              <w:rPr>
                <w:rFonts w:cs="Arial"/>
                <w:sz w:val="24"/>
              </w:rPr>
              <w:t>did</w:t>
            </w:r>
            <w:proofErr w:type="gramEnd"/>
            <w:r w:rsidRPr="0053077F">
              <w:rPr>
                <w:rFonts w:cs="Arial"/>
                <w:sz w:val="24"/>
              </w:rPr>
              <w:t xml:space="preserve"> and teachers cannot access groups and offer support to the depth and detail </w:t>
            </w:r>
            <w:r w:rsidRPr="0053077F">
              <w:rPr>
                <w:rFonts w:cs="Arial"/>
                <w:sz w:val="24"/>
              </w:rPr>
              <w:t>as they did</w:t>
            </w:r>
            <w:r w:rsidRPr="0053077F">
              <w:rPr>
                <w:rFonts w:cs="Arial"/>
                <w:sz w:val="24"/>
              </w:rPr>
              <w:t xml:space="preserve"> prior to lockdown.</w:t>
            </w:r>
          </w:p>
        </w:tc>
      </w:tr>
    </w:tbl>
    <w:p w14:paraId="2535A7F0" w14:textId="77777777" w:rsidR="00D05239" w:rsidRPr="0053077F" w:rsidRDefault="00D05239" w:rsidP="00D05239">
      <w:pPr>
        <w:rPr>
          <w:rFonts w:ascii="Arial" w:hAnsi="Arial" w:cs="Arial"/>
          <w:sz w:val="24"/>
          <w:szCs w:val="24"/>
        </w:rPr>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012"/>
        <w:gridCol w:w="14268"/>
      </w:tblGrid>
      <w:tr w:rsidR="00D05239" w:rsidRPr="0053077F" w14:paraId="27072C8B" w14:textId="77777777" w:rsidTr="00F0462F">
        <w:trPr>
          <w:cantSplit/>
          <w:trHeight w:val="302"/>
        </w:trPr>
        <w:tc>
          <w:tcPr>
            <w:tcW w:w="15492" w:type="dxa"/>
            <w:gridSpan w:val="2"/>
            <w:shd w:val="clear" w:color="auto" w:fill="ACB9CA" w:themeFill="text2" w:themeFillTint="66"/>
            <w:tcMar>
              <w:top w:w="113" w:type="dxa"/>
              <w:bottom w:w="113" w:type="dxa"/>
            </w:tcMar>
          </w:tcPr>
          <w:p w14:paraId="16787AAE" w14:textId="77777777" w:rsidR="00D05239" w:rsidRPr="0053077F" w:rsidRDefault="00D05239" w:rsidP="00F0462F">
            <w:pPr>
              <w:pStyle w:val="7Tablebodycopy"/>
              <w:rPr>
                <w:rFonts w:cs="Arial"/>
                <w:sz w:val="24"/>
              </w:rPr>
            </w:pPr>
            <w:r w:rsidRPr="0053077F">
              <w:rPr>
                <w:rFonts w:cs="Arial"/>
                <w:sz w:val="24"/>
              </w:rPr>
              <w:t>ADDITIONAL BARRIERS</w:t>
            </w:r>
          </w:p>
        </w:tc>
      </w:tr>
      <w:tr w:rsidR="00D05239" w:rsidRPr="0053077F" w14:paraId="39D47C16" w14:textId="77777777" w:rsidTr="00F0462F">
        <w:trPr>
          <w:cantSplit/>
          <w:trHeight w:val="302"/>
        </w:trPr>
        <w:tc>
          <w:tcPr>
            <w:tcW w:w="15492" w:type="dxa"/>
            <w:gridSpan w:val="2"/>
            <w:shd w:val="clear" w:color="auto" w:fill="D5DCE4" w:themeFill="text2" w:themeFillTint="33"/>
            <w:tcMar>
              <w:top w:w="113" w:type="dxa"/>
              <w:bottom w:w="113" w:type="dxa"/>
            </w:tcMar>
          </w:tcPr>
          <w:p w14:paraId="5944A756" w14:textId="58DA2762" w:rsidR="00D05239" w:rsidRPr="0053077F" w:rsidRDefault="00D05239" w:rsidP="00F0462F">
            <w:pPr>
              <w:pStyle w:val="7Tablebodycopy"/>
              <w:rPr>
                <w:rFonts w:cs="Arial"/>
                <w:sz w:val="24"/>
              </w:rPr>
            </w:pPr>
            <w:r w:rsidRPr="0053077F">
              <w:rPr>
                <w:rFonts w:cs="Arial"/>
                <w:sz w:val="24"/>
              </w:rPr>
              <w:t xml:space="preserve">External barriers: </w:t>
            </w:r>
          </w:p>
        </w:tc>
      </w:tr>
      <w:tr w:rsidR="00D05239" w:rsidRPr="0053077F" w14:paraId="1E8A5227" w14:textId="77777777" w:rsidTr="00F0462F">
        <w:trPr>
          <w:cantSplit/>
          <w:trHeight w:val="302"/>
        </w:trPr>
        <w:tc>
          <w:tcPr>
            <w:tcW w:w="1022" w:type="dxa"/>
            <w:shd w:val="clear" w:color="auto" w:fill="auto"/>
            <w:tcMar>
              <w:top w:w="113" w:type="dxa"/>
              <w:bottom w:w="113" w:type="dxa"/>
            </w:tcMar>
          </w:tcPr>
          <w:p w14:paraId="27A93CC6" w14:textId="77777777" w:rsidR="00D05239" w:rsidRPr="0053077F" w:rsidRDefault="00D05239" w:rsidP="00F0462F">
            <w:pPr>
              <w:pStyle w:val="7Tablebodycopy"/>
              <w:rPr>
                <w:rFonts w:cs="Arial"/>
                <w:sz w:val="24"/>
              </w:rPr>
            </w:pPr>
            <w:r w:rsidRPr="0053077F">
              <w:rPr>
                <w:rFonts w:cs="Arial"/>
                <w:sz w:val="24"/>
              </w:rPr>
              <w:t>D</w:t>
            </w:r>
          </w:p>
        </w:tc>
        <w:tc>
          <w:tcPr>
            <w:tcW w:w="14470" w:type="dxa"/>
            <w:shd w:val="clear" w:color="auto" w:fill="auto"/>
            <w:tcMar>
              <w:top w:w="113" w:type="dxa"/>
              <w:bottom w:w="113" w:type="dxa"/>
            </w:tcMar>
          </w:tcPr>
          <w:p w14:paraId="228D372C" w14:textId="0869B742" w:rsidR="00D05239" w:rsidRPr="0053077F" w:rsidRDefault="0099297B" w:rsidP="00F0462F">
            <w:pPr>
              <w:pStyle w:val="7Tablebodycopy"/>
              <w:rPr>
                <w:rFonts w:cs="Arial"/>
                <w:sz w:val="24"/>
              </w:rPr>
            </w:pPr>
            <w:r w:rsidRPr="0053077F">
              <w:rPr>
                <w:rFonts w:cs="Arial"/>
                <w:sz w:val="24"/>
              </w:rPr>
              <w:t xml:space="preserve">Continued anxiety around COVID and </w:t>
            </w:r>
            <w:proofErr w:type="spellStart"/>
            <w:r w:rsidRPr="0053077F">
              <w:rPr>
                <w:rFonts w:cs="Arial"/>
                <w:sz w:val="24"/>
              </w:rPr>
              <w:t>it’s</w:t>
            </w:r>
            <w:proofErr w:type="spellEnd"/>
            <w:r w:rsidRPr="0053077F">
              <w:rPr>
                <w:rFonts w:cs="Arial"/>
                <w:sz w:val="24"/>
              </w:rPr>
              <w:t xml:space="preserve"> impact on people’s physical and mental health</w:t>
            </w:r>
          </w:p>
        </w:tc>
      </w:tr>
      <w:tr w:rsidR="00D05239" w:rsidRPr="0053077F" w14:paraId="13AFAB8A" w14:textId="77777777" w:rsidTr="00F0462F">
        <w:trPr>
          <w:cantSplit/>
          <w:trHeight w:val="302"/>
        </w:trPr>
        <w:tc>
          <w:tcPr>
            <w:tcW w:w="1022" w:type="dxa"/>
            <w:shd w:val="clear" w:color="auto" w:fill="auto"/>
            <w:tcMar>
              <w:top w:w="113" w:type="dxa"/>
              <w:bottom w:w="113" w:type="dxa"/>
            </w:tcMar>
          </w:tcPr>
          <w:p w14:paraId="3B7E5A5D" w14:textId="77777777" w:rsidR="00D05239" w:rsidRPr="0053077F" w:rsidRDefault="00D05239" w:rsidP="00F0462F">
            <w:pPr>
              <w:pStyle w:val="7Tablebodycopy"/>
              <w:rPr>
                <w:rFonts w:cs="Arial"/>
                <w:sz w:val="24"/>
              </w:rPr>
            </w:pPr>
            <w:r w:rsidRPr="0053077F">
              <w:rPr>
                <w:rFonts w:cs="Arial"/>
                <w:sz w:val="24"/>
              </w:rPr>
              <w:t>E</w:t>
            </w:r>
          </w:p>
        </w:tc>
        <w:tc>
          <w:tcPr>
            <w:tcW w:w="14470" w:type="dxa"/>
            <w:shd w:val="clear" w:color="auto" w:fill="auto"/>
            <w:tcMar>
              <w:top w:w="113" w:type="dxa"/>
              <w:bottom w:w="113" w:type="dxa"/>
            </w:tcMar>
          </w:tcPr>
          <w:p w14:paraId="795D8476" w14:textId="622577FD" w:rsidR="00D05239" w:rsidRPr="0053077F" w:rsidRDefault="0099297B" w:rsidP="00F0462F">
            <w:pPr>
              <w:pStyle w:val="7Tablebodycopy"/>
              <w:rPr>
                <w:rFonts w:cs="Arial"/>
                <w:sz w:val="24"/>
              </w:rPr>
            </w:pPr>
            <w:r w:rsidRPr="0053077F">
              <w:rPr>
                <w:rFonts w:cs="Arial"/>
                <w:sz w:val="24"/>
              </w:rPr>
              <w:t xml:space="preserve">Continued anxiety around COVID and </w:t>
            </w:r>
            <w:proofErr w:type="spellStart"/>
            <w:r w:rsidRPr="0053077F">
              <w:rPr>
                <w:rFonts w:cs="Arial"/>
                <w:sz w:val="24"/>
              </w:rPr>
              <w:t>it’s</w:t>
            </w:r>
            <w:proofErr w:type="spellEnd"/>
            <w:r w:rsidRPr="0053077F">
              <w:rPr>
                <w:rFonts w:cs="Arial"/>
                <w:sz w:val="24"/>
              </w:rPr>
              <w:t xml:space="preserve"> impact on people’s </w:t>
            </w:r>
            <w:r w:rsidRPr="0053077F">
              <w:rPr>
                <w:rFonts w:cs="Arial"/>
                <w:sz w:val="24"/>
              </w:rPr>
              <w:t>economic wealth</w:t>
            </w:r>
          </w:p>
        </w:tc>
      </w:tr>
      <w:tr w:rsidR="00D05239" w:rsidRPr="0053077F" w14:paraId="2486E1DE" w14:textId="77777777" w:rsidTr="00F0462F">
        <w:trPr>
          <w:cantSplit/>
          <w:trHeight w:val="318"/>
        </w:trPr>
        <w:tc>
          <w:tcPr>
            <w:tcW w:w="1022" w:type="dxa"/>
            <w:shd w:val="clear" w:color="auto" w:fill="auto"/>
            <w:tcMar>
              <w:top w:w="113" w:type="dxa"/>
              <w:bottom w:w="113" w:type="dxa"/>
            </w:tcMar>
          </w:tcPr>
          <w:p w14:paraId="55548C99" w14:textId="77777777" w:rsidR="00D05239" w:rsidRPr="0053077F" w:rsidRDefault="00D05239" w:rsidP="00F0462F">
            <w:pPr>
              <w:pStyle w:val="7Tablebodycopy"/>
              <w:rPr>
                <w:rFonts w:cs="Arial"/>
                <w:sz w:val="24"/>
              </w:rPr>
            </w:pPr>
            <w:r w:rsidRPr="0053077F">
              <w:rPr>
                <w:rFonts w:cs="Arial"/>
                <w:sz w:val="24"/>
              </w:rPr>
              <w:t>F</w:t>
            </w:r>
          </w:p>
        </w:tc>
        <w:tc>
          <w:tcPr>
            <w:tcW w:w="14470" w:type="dxa"/>
            <w:shd w:val="clear" w:color="auto" w:fill="auto"/>
            <w:tcMar>
              <w:top w:w="113" w:type="dxa"/>
              <w:bottom w:w="113" w:type="dxa"/>
            </w:tcMar>
          </w:tcPr>
          <w:p w14:paraId="27A29DA7" w14:textId="2D5CC975" w:rsidR="00D05239" w:rsidRPr="0053077F" w:rsidRDefault="0099297B" w:rsidP="00F0462F">
            <w:pPr>
              <w:pStyle w:val="7Tablebodycopy"/>
              <w:rPr>
                <w:rFonts w:cs="Arial"/>
                <w:sz w:val="24"/>
              </w:rPr>
            </w:pPr>
            <w:r w:rsidRPr="0053077F">
              <w:rPr>
                <w:rFonts w:cs="Arial"/>
                <w:sz w:val="24"/>
              </w:rPr>
              <w:t xml:space="preserve">Symptoms form </w:t>
            </w:r>
            <w:proofErr w:type="gramStart"/>
            <w:r w:rsidRPr="0053077F">
              <w:rPr>
                <w:rFonts w:cs="Arial"/>
                <w:sz w:val="24"/>
              </w:rPr>
              <w:t>class mates</w:t>
            </w:r>
            <w:proofErr w:type="gramEnd"/>
            <w:r w:rsidRPr="0053077F">
              <w:rPr>
                <w:rFonts w:cs="Arial"/>
                <w:sz w:val="24"/>
              </w:rPr>
              <w:t xml:space="preserve"> or other family members resulting in c</w:t>
            </w:r>
            <w:r w:rsidRPr="0053077F">
              <w:rPr>
                <w:rFonts w:cs="Arial"/>
                <w:sz w:val="24"/>
              </w:rPr>
              <w:t>hildren remaining at home due to self-isolation,</w:t>
            </w:r>
          </w:p>
        </w:tc>
      </w:tr>
      <w:tr w:rsidR="0099297B" w:rsidRPr="0053077F" w14:paraId="2808D77D" w14:textId="77777777" w:rsidTr="00F0462F">
        <w:trPr>
          <w:cantSplit/>
          <w:trHeight w:val="318"/>
        </w:trPr>
        <w:tc>
          <w:tcPr>
            <w:tcW w:w="1022" w:type="dxa"/>
            <w:shd w:val="clear" w:color="auto" w:fill="auto"/>
            <w:tcMar>
              <w:top w:w="113" w:type="dxa"/>
              <w:bottom w:w="113" w:type="dxa"/>
            </w:tcMar>
          </w:tcPr>
          <w:p w14:paraId="383A03CD" w14:textId="763F8DDB" w:rsidR="0099297B" w:rsidRPr="0053077F" w:rsidRDefault="0099297B" w:rsidP="00F0462F">
            <w:pPr>
              <w:pStyle w:val="7Tablebodycopy"/>
              <w:rPr>
                <w:rFonts w:cs="Arial"/>
                <w:sz w:val="24"/>
              </w:rPr>
            </w:pPr>
            <w:r w:rsidRPr="0053077F">
              <w:rPr>
                <w:rFonts w:cs="Arial"/>
                <w:sz w:val="24"/>
              </w:rPr>
              <w:t>G</w:t>
            </w:r>
          </w:p>
        </w:tc>
        <w:tc>
          <w:tcPr>
            <w:tcW w:w="14470" w:type="dxa"/>
            <w:shd w:val="clear" w:color="auto" w:fill="auto"/>
            <w:tcMar>
              <w:top w:w="113" w:type="dxa"/>
              <w:bottom w:w="113" w:type="dxa"/>
            </w:tcMar>
          </w:tcPr>
          <w:p w14:paraId="24B0A724" w14:textId="3A4AE11E" w:rsidR="0099297B" w:rsidRPr="0053077F" w:rsidRDefault="0099297B" w:rsidP="00F0462F">
            <w:pPr>
              <w:pStyle w:val="7Tablebodycopy"/>
              <w:rPr>
                <w:rFonts w:cs="Arial"/>
                <w:sz w:val="24"/>
              </w:rPr>
            </w:pPr>
            <w:r w:rsidRPr="0053077F">
              <w:rPr>
                <w:rFonts w:cs="Arial"/>
                <w:sz w:val="24"/>
              </w:rPr>
              <w:t>Continued lack of IT at home due to parents working from home and needing the devices</w:t>
            </w:r>
          </w:p>
        </w:tc>
      </w:tr>
      <w:tr w:rsidR="0099297B" w:rsidRPr="0053077F" w14:paraId="5589EDAC" w14:textId="77777777" w:rsidTr="00F0462F">
        <w:trPr>
          <w:cantSplit/>
          <w:trHeight w:val="318"/>
        </w:trPr>
        <w:tc>
          <w:tcPr>
            <w:tcW w:w="1022" w:type="dxa"/>
            <w:shd w:val="clear" w:color="auto" w:fill="auto"/>
            <w:tcMar>
              <w:top w:w="113" w:type="dxa"/>
              <w:bottom w:w="113" w:type="dxa"/>
            </w:tcMar>
          </w:tcPr>
          <w:p w14:paraId="0267181B" w14:textId="276FD413" w:rsidR="0099297B" w:rsidRPr="0053077F" w:rsidRDefault="0099297B" w:rsidP="00F0462F">
            <w:pPr>
              <w:pStyle w:val="7Tablebodycopy"/>
              <w:rPr>
                <w:rFonts w:cs="Arial"/>
                <w:sz w:val="24"/>
              </w:rPr>
            </w:pPr>
            <w:r w:rsidRPr="0053077F">
              <w:rPr>
                <w:rFonts w:cs="Arial"/>
                <w:sz w:val="24"/>
              </w:rPr>
              <w:t>H</w:t>
            </w:r>
          </w:p>
        </w:tc>
        <w:tc>
          <w:tcPr>
            <w:tcW w:w="14470" w:type="dxa"/>
            <w:shd w:val="clear" w:color="auto" w:fill="auto"/>
            <w:tcMar>
              <w:top w:w="113" w:type="dxa"/>
              <w:bottom w:w="113" w:type="dxa"/>
            </w:tcMar>
          </w:tcPr>
          <w:p w14:paraId="48148047" w14:textId="22ECB2D9" w:rsidR="0099297B" w:rsidRPr="0053077F" w:rsidRDefault="0099297B" w:rsidP="00F0462F">
            <w:pPr>
              <w:pStyle w:val="7Tablebodycopy"/>
              <w:rPr>
                <w:rFonts w:cs="Arial"/>
                <w:sz w:val="24"/>
              </w:rPr>
            </w:pPr>
            <w:r w:rsidRPr="0053077F">
              <w:rPr>
                <w:rFonts w:cs="Arial"/>
                <w:sz w:val="24"/>
              </w:rPr>
              <w:t>Continued lack of support at home due to parents working and not being able to teach their children during periods of self-isolation</w:t>
            </w:r>
          </w:p>
        </w:tc>
      </w:tr>
    </w:tbl>
    <w:p w14:paraId="6593BF16" w14:textId="77777777" w:rsidR="00D05239" w:rsidRPr="0053077F" w:rsidRDefault="00D05239" w:rsidP="00D05239">
      <w:pPr>
        <w:rPr>
          <w:rFonts w:ascii="Arial" w:hAnsi="Arial" w:cs="Arial"/>
          <w:sz w:val="24"/>
          <w:szCs w:val="24"/>
        </w:rPr>
      </w:pPr>
    </w:p>
    <w:p w14:paraId="2769FE7F" w14:textId="77777777" w:rsidR="0099297B" w:rsidRPr="0053077F" w:rsidRDefault="0099297B" w:rsidP="0099297B">
      <w:pPr>
        <w:pStyle w:val="2Subheadpink"/>
        <w:rPr>
          <w:color w:val="8496B0" w:themeColor="text2" w:themeTint="99"/>
          <w:sz w:val="24"/>
          <w:szCs w:val="24"/>
        </w:rPr>
      </w:pPr>
    </w:p>
    <w:p w14:paraId="655E99D4" w14:textId="77777777" w:rsidR="0099297B" w:rsidRPr="0053077F" w:rsidRDefault="0099297B" w:rsidP="0099297B">
      <w:pPr>
        <w:pStyle w:val="2Subheadpink"/>
        <w:rPr>
          <w:color w:val="8496B0" w:themeColor="text2" w:themeTint="99"/>
          <w:sz w:val="24"/>
          <w:szCs w:val="24"/>
        </w:rPr>
      </w:pPr>
    </w:p>
    <w:p w14:paraId="3084F98C" w14:textId="77777777" w:rsidR="0099297B" w:rsidRPr="0053077F" w:rsidRDefault="0099297B" w:rsidP="0099297B">
      <w:pPr>
        <w:pStyle w:val="2Subheadpink"/>
        <w:rPr>
          <w:color w:val="8496B0" w:themeColor="text2" w:themeTint="99"/>
          <w:sz w:val="24"/>
          <w:szCs w:val="24"/>
        </w:rPr>
      </w:pPr>
    </w:p>
    <w:p w14:paraId="37967058" w14:textId="79403D84" w:rsidR="00D05239" w:rsidRPr="0053077F" w:rsidRDefault="00D05239" w:rsidP="0099297B">
      <w:pPr>
        <w:pStyle w:val="2Subheadpink"/>
        <w:rPr>
          <w:color w:val="8496B0" w:themeColor="text2" w:themeTint="99"/>
          <w:sz w:val="24"/>
          <w:szCs w:val="24"/>
        </w:rPr>
      </w:pPr>
      <w:r w:rsidRPr="0053077F">
        <w:rPr>
          <w:color w:val="8496B0" w:themeColor="text2" w:themeTint="99"/>
          <w:sz w:val="24"/>
          <w:szCs w:val="24"/>
        </w:rPr>
        <w:lastRenderedPageBreak/>
        <w:t>Planned expenditure for current academic year</w:t>
      </w: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2417"/>
        <w:gridCol w:w="2254"/>
        <w:gridCol w:w="3658"/>
        <w:gridCol w:w="3660"/>
        <w:gridCol w:w="1693"/>
        <w:gridCol w:w="1598"/>
      </w:tblGrid>
      <w:tr w:rsidR="00D05239" w:rsidRPr="0053077F" w14:paraId="158BB9F8" w14:textId="77777777" w:rsidTr="00135BA9">
        <w:trPr>
          <w:cantSplit/>
          <w:trHeight w:val="285"/>
        </w:trPr>
        <w:tc>
          <w:tcPr>
            <w:tcW w:w="15280" w:type="dxa"/>
            <w:gridSpan w:val="6"/>
            <w:shd w:val="clear" w:color="auto" w:fill="D5DCE4" w:themeFill="text2" w:themeFillTint="33"/>
            <w:tcMar>
              <w:top w:w="113" w:type="dxa"/>
              <w:bottom w:w="113" w:type="dxa"/>
            </w:tcMar>
          </w:tcPr>
          <w:p w14:paraId="2160B1A5" w14:textId="77777777" w:rsidR="00D05239" w:rsidRPr="0053077F" w:rsidRDefault="00D05239" w:rsidP="00F0462F">
            <w:pPr>
              <w:pStyle w:val="7Tablebodycopy"/>
              <w:rPr>
                <w:rFonts w:cs="Arial"/>
                <w:sz w:val="24"/>
              </w:rPr>
            </w:pPr>
            <w:r w:rsidRPr="0053077F">
              <w:rPr>
                <w:rFonts w:cs="Arial"/>
                <w:sz w:val="24"/>
              </w:rPr>
              <w:t>Quality of teaching for all</w:t>
            </w:r>
          </w:p>
        </w:tc>
      </w:tr>
      <w:tr w:rsidR="00135BA9" w:rsidRPr="0053077F" w14:paraId="76A2812A" w14:textId="77777777" w:rsidTr="00135BA9">
        <w:trPr>
          <w:cantSplit/>
          <w:trHeight w:val="585"/>
        </w:trPr>
        <w:tc>
          <w:tcPr>
            <w:tcW w:w="2417" w:type="dxa"/>
            <w:shd w:val="clear" w:color="auto" w:fill="auto"/>
            <w:tcMar>
              <w:top w:w="113" w:type="dxa"/>
              <w:bottom w:w="113" w:type="dxa"/>
            </w:tcMar>
          </w:tcPr>
          <w:p w14:paraId="2C6A2D52" w14:textId="77777777" w:rsidR="00D05239" w:rsidRPr="0053077F" w:rsidRDefault="00D05239" w:rsidP="00F0462F">
            <w:pPr>
              <w:pStyle w:val="7Tablebodycopy"/>
              <w:rPr>
                <w:rFonts w:cs="Arial"/>
                <w:sz w:val="24"/>
              </w:rPr>
            </w:pPr>
            <w:r w:rsidRPr="0053077F">
              <w:rPr>
                <w:rFonts w:cs="Arial"/>
                <w:sz w:val="24"/>
              </w:rPr>
              <w:t>Action</w:t>
            </w:r>
          </w:p>
        </w:tc>
        <w:tc>
          <w:tcPr>
            <w:tcW w:w="2254" w:type="dxa"/>
            <w:shd w:val="clear" w:color="auto" w:fill="auto"/>
            <w:tcMar>
              <w:top w:w="113" w:type="dxa"/>
              <w:bottom w:w="113" w:type="dxa"/>
            </w:tcMar>
          </w:tcPr>
          <w:p w14:paraId="00596E8C" w14:textId="77777777" w:rsidR="00D05239" w:rsidRPr="0053077F" w:rsidRDefault="00D05239" w:rsidP="00F0462F">
            <w:pPr>
              <w:pStyle w:val="7Tablebodycopy"/>
              <w:rPr>
                <w:rFonts w:cs="Arial"/>
                <w:sz w:val="24"/>
              </w:rPr>
            </w:pPr>
            <w:r w:rsidRPr="0053077F">
              <w:rPr>
                <w:rFonts w:cs="Arial"/>
                <w:sz w:val="24"/>
              </w:rPr>
              <w:t>Intended outcome and success criteria</w:t>
            </w:r>
          </w:p>
        </w:tc>
        <w:tc>
          <w:tcPr>
            <w:tcW w:w="3658" w:type="dxa"/>
          </w:tcPr>
          <w:p w14:paraId="01F2967A" w14:textId="77777777" w:rsidR="00D05239" w:rsidRPr="0053077F" w:rsidRDefault="00D05239" w:rsidP="00F0462F">
            <w:pPr>
              <w:pStyle w:val="7Tablebodybulleted"/>
              <w:numPr>
                <w:ilvl w:val="0"/>
                <w:numId w:val="0"/>
              </w:numPr>
              <w:rPr>
                <w:rFonts w:cs="Arial"/>
                <w:sz w:val="24"/>
              </w:rPr>
            </w:pPr>
            <w:r w:rsidRPr="0053077F">
              <w:rPr>
                <w:rFonts w:cs="Arial"/>
                <w:sz w:val="24"/>
              </w:rPr>
              <w:t>What’s the evidence and rationale for this choice?</w:t>
            </w:r>
          </w:p>
        </w:tc>
        <w:tc>
          <w:tcPr>
            <w:tcW w:w="3660" w:type="dxa"/>
          </w:tcPr>
          <w:p w14:paraId="528380D7" w14:textId="77777777" w:rsidR="00D05239" w:rsidRPr="0053077F" w:rsidRDefault="00D05239" w:rsidP="00F0462F">
            <w:pPr>
              <w:pStyle w:val="7Tablebodybulleted"/>
              <w:numPr>
                <w:ilvl w:val="0"/>
                <w:numId w:val="0"/>
              </w:numPr>
              <w:ind w:right="27"/>
              <w:rPr>
                <w:rFonts w:cs="Arial"/>
                <w:sz w:val="24"/>
              </w:rPr>
            </w:pPr>
            <w:r w:rsidRPr="0053077F">
              <w:rPr>
                <w:rFonts w:cs="Arial"/>
                <w:sz w:val="24"/>
              </w:rPr>
              <w:t>How will you make sure it’s implemented well?</w:t>
            </w:r>
          </w:p>
        </w:tc>
        <w:tc>
          <w:tcPr>
            <w:tcW w:w="1693" w:type="dxa"/>
          </w:tcPr>
          <w:p w14:paraId="19F29B00" w14:textId="77777777" w:rsidR="00D05239" w:rsidRPr="0053077F" w:rsidRDefault="00D05239" w:rsidP="00F0462F">
            <w:pPr>
              <w:pStyle w:val="7Tablebodybulleted"/>
              <w:numPr>
                <w:ilvl w:val="0"/>
                <w:numId w:val="0"/>
              </w:numPr>
              <w:rPr>
                <w:rFonts w:cs="Arial"/>
                <w:sz w:val="24"/>
              </w:rPr>
            </w:pPr>
            <w:r w:rsidRPr="0053077F">
              <w:rPr>
                <w:rFonts w:cs="Arial"/>
                <w:sz w:val="24"/>
              </w:rPr>
              <w:t>Staff lead</w:t>
            </w:r>
          </w:p>
        </w:tc>
        <w:tc>
          <w:tcPr>
            <w:tcW w:w="1598" w:type="dxa"/>
          </w:tcPr>
          <w:p w14:paraId="0B311FED" w14:textId="77777777" w:rsidR="00D05239" w:rsidRPr="0053077F" w:rsidRDefault="00D05239" w:rsidP="00F0462F">
            <w:pPr>
              <w:pStyle w:val="7Tablebodybulleted"/>
              <w:numPr>
                <w:ilvl w:val="0"/>
                <w:numId w:val="0"/>
              </w:numPr>
              <w:ind w:right="-18"/>
              <w:rPr>
                <w:rFonts w:cs="Arial"/>
                <w:sz w:val="24"/>
              </w:rPr>
            </w:pPr>
            <w:r w:rsidRPr="0053077F">
              <w:rPr>
                <w:rFonts w:cs="Arial"/>
                <w:sz w:val="24"/>
              </w:rPr>
              <w:t>When will you review this?</w:t>
            </w:r>
          </w:p>
        </w:tc>
      </w:tr>
      <w:tr w:rsidR="00135BA9" w:rsidRPr="0053077F" w14:paraId="6B7FD9F3" w14:textId="77777777" w:rsidTr="00135BA9">
        <w:trPr>
          <w:cantSplit/>
          <w:trHeight w:val="2042"/>
        </w:trPr>
        <w:tc>
          <w:tcPr>
            <w:tcW w:w="2417" w:type="dxa"/>
            <w:shd w:val="clear" w:color="auto" w:fill="auto"/>
            <w:tcMar>
              <w:top w:w="113" w:type="dxa"/>
              <w:bottom w:w="113" w:type="dxa"/>
            </w:tcMar>
          </w:tcPr>
          <w:p w14:paraId="52A9D811" w14:textId="2F42729B" w:rsidR="00D05239" w:rsidRPr="0053077F" w:rsidRDefault="0099297B" w:rsidP="00F0462F">
            <w:pPr>
              <w:pStyle w:val="7Tablebodycopy"/>
              <w:rPr>
                <w:rFonts w:cs="Arial"/>
                <w:sz w:val="24"/>
              </w:rPr>
            </w:pPr>
            <w:r w:rsidRPr="0053077F">
              <w:rPr>
                <w:rFonts w:cs="Arial"/>
                <w:sz w:val="24"/>
              </w:rPr>
              <w:t>Week 1 – 3</w:t>
            </w:r>
          </w:p>
          <w:p w14:paraId="53421FB1" w14:textId="410CC504" w:rsidR="0099297B" w:rsidRPr="0053077F" w:rsidRDefault="0099297B" w:rsidP="00F0462F">
            <w:pPr>
              <w:pStyle w:val="7Tablebodycopy"/>
              <w:rPr>
                <w:rFonts w:cs="Arial"/>
                <w:sz w:val="24"/>
              </w:rPr>
            </w:pPr>
            <w:r w:rsidRPr="0053077F">
              <w:rPr>
                <w:rFonts w:cs="Arial"/>
                <w:sz w:val="24"/>
              </w:rPr>
              <w:t>Assessment of children’s mental health and well-being – are they ready to be in school and ready to learn?</w:t>
            </w:r>
          </w:p>
        </w:tc>
        <w:tc>
          <w:tcPr>
            <w:tcW w:w="2254" w:type="dxa"/>
            <w:shd w:val="clear" w:color="auto" w:fill="auto"/>
            <w:tcMar>
              <w:top w:w="113" w:type="dxa"/>
              <w:bottom w:w="113" w:type="dxa"/>
            </w:tcMar>
          </w:tcPr>
          <w:p w14:paraId="1E02A4F3" w14:textId="77777777" w:rsidR="00D05239" w:rsidRPr="0053077F" w:rsidRDefault="0099297B" w:rsidP="00F0462F">
            <w:pPr>
              <w:pStyle w:val="7Tablebodycopy"/>
              <w:rPr>
                <w:rFonts w:cs="Arial"/>
                <w:sz w:val="24"/>
              </w:rPr>
            </w:pPr>
            <w:r w:rsidRPr="0053077F">
              <w:rPr>
                <w:rFonts w:cs="Arial"/>
                <w:sz w:val="24"/>
              </w:rPr>
              <w:t>Establish that the children are well and ready to learn</w:t>
            </w:r>
          </w:p>
          <w:p w14:paraId="2633C240" w14:textId="77777777" w:rsidR="0099297B" w:rsidRPr="0053077F" w:rsidRDefault="0099297B" w:rsidP="00F0462F">
            <w:pPr>
              <w:pStyle w:val="7Tablebodycopy"/>
              <w:rPr>
                <w:rFonts w:cs="Arial"/>
                <w:sz w:val="24"/>
              </w:rPr>
            </w:pPr>
          </w:p>
          <w:p w14:paraId="2AC6B7D2" w14:textId="219D2EC7" w:rsidR="0099297B" w:rsidRPr="0053077F" w:rsidRDefault="0099297B" w:rsidP="00F0462F">
            <w:pPr>
              <w:pStyle w:val="7Tablebodycopy"/>
              <w:rPr>
                <w:rFonts w:cs="Arial"/>
                <w:sz w:val="24"/>
              </w:rPr>
            </w:pPr>
            <w:r w:rsidRPr="0053077F">
              <w:rPr>
                <w:rFonts w:cs="Arial"/>
                <w:sz w:val="24"/>
              </w:rPr>
              <w:t>All children are happy and safe and ready to learn</w:t>
            </w:r>
          </w:p>
        </w:tc>
        <w:tc>
          <w:tcPr>
            <w:tcW w:w="3658" w:type="dxa"/>
          </w:tcPr>
          <w:p w14:paraId="10750345" w14:textId="5049DE2D" w:rsidR="00D05239" w:rsidRPr="0053077F" w:rsidRDefault="0099297B" w:rsidP="0099297B">
            <w:pPr>
              <w:pStyle w:val="7Tablecopybulleted"/>
              <w:numPr>
                <w:ilvl w:val="0"/>
                <w:numId w:val="0"/>
              </w:numPr>
              <w:rPr>
                <w:rFonts w:cs="Arial"/>
                <w:sz w:val="24"/>
              </w:rPr>
            </w:pPr>
            <w:r w:rsidRPr="0053077F">
              <w:rPr>
                <w:rFonts w:cs="Arial"/>
                <w:sz w:val="24"/>
              </w:rPr>
              <w:t>It was felt that we had to establish that the children were in the right frame of mind once they returned after such a lengthy absence.  The first three weeks were very much spent taking part in re-integration activities to ensure that the children were ready to learn again.</w:t>
            </w:r>
          </w:p>
        </w:tc>
        <w:tc>
          <w:tcPr>
            <w:tcW w:w="3660" w:type="dxa"/>
          </w:tcPr>
          <w:p w14:paraId="740B2CEE" w14:textId="61E70426" w:rsidR="00D05239" w:rsidRPr="0053077F" w:rsidRDefault="0099297B" w:rsidP="00F0462F">
            <w:pPr>
              <w:pStyle w:val="7Tablebodycopy"/>
              <w:rPr>
                <w:rFonts w:cs="Arial"/>
                <w:sz w:val="24"/>
              </w:rPr>
            </w:pPr>
            <w:r w:rsidRPr="0053077F">
              <w:rPr>
                <w:rFonts w:cs="Arial"/>
                <w:sz w:val="24"/>
              </w:rPr>
              <w:t>Staff met regularly to discuss concerns that their children may generate during pupil progress meetings which focused specifically on the mental health of the children rather than the loss of academic progress</w:t>
            </w:r>
          </w:p>
        </w:tc>
        <w:tc>
          <w:tcPr>
            <w:tcW w:w="1693" w:type="dxa"/>
          </w:tcPr>
          <w:p w14:paraId="6BC78F82" w14:textId="1DA0032A" w:rsidR="00D05239" w:rsidRPr="0053077F" w:rsidRDefault="0099297B" w:rsidP="00F0462F">
            <w:pPr>
              <w:pStyle w:val="7Tablebodycopy"/>
              <w:rPr>
                <w:rFonts w:cs="Arial"/>
                <w:sz w:val="24"/>
              </w:rPr>
            </w:pPr>
            <w:r w:rsidRPr="0053077F">
              <w:rPr>
                <w:rFonts w:cs="Arial"/>
                <w:sz w:val="24"/>
              </w:rPr>
              <w:t>NC</w:t>
            </w:r>
          </w:p>
        </w:tc>
        <w:tc>
          <w:tcPr>
            <w:tcW w:w="1598" w:type="dxa"/>
          </w:tcPr>
          <w:p w14:paraId="61D9618A" w14:textId="597A9A8F" w:rsidR="00D05239" w:rsidRPr="0053077F" w:rsidRDefault="0099297B" w:rsidP="00F0462F">
            <w:pPr>
              <w:pStyle w:val="7Tablebodycopy"/>
              <w:rPr>
                <w:rFonts w:cs="Arial"/>
                <w:sz w:val="24"/>
              </w:rPr>
            </w:pPr>
            <w:r w:rsidRPr="0053077F">
              <w:rPr>
                <w:rFonts w:cs="Arial"/>
                <w:sz w:val="24"/>
              </w:rPr>
              <w:t>October half term 2020</w:t>
            </w:r>
          </w:p>
        </w:tc>
      </w:tr>
      <w:tr w:rsidR="00135BA9" w:rsidRPr="0053077F" w14:paraId="08BB1E63" w14:textId="77777777" w:rsidTr="00135BA9">
        <w:trPr>
          <w:cantSplit/>
          <w:trHeight w:val="285"/>
        </w:trPr>
        <w:tc>
          <w:tcPr>
            <w:tcW w:w="2417" w:type="dxa"/>
            <w:shd w:val="clear" w:color="auto" w:fill="auto"/>
            <w:tcMar>
              <w:top w:w="113" w:type="dxa"/>
              <w:bottom w:w="113" w:type="dxa"/>
            </w:tcMar>
          </w:tcPr>
          <w:p w14:paraId="7D826FB0" w14:textId="77C2EBFE" w:rsidR="00D05239" w:rsidRPr="0053077F" w:rsidRDefault="0099297B" w:rsidP="00F0462F">
            <w:pPr>
              <w:pStyle w:val="7Tablebodycopy"/>
              <w:rPr>
                <w:rFonts w:cs="Arial"/>
                <w:sz w:val="24"/>
              </w:rPr>
            </w:pPr>
            <w:r w:rsidRPr="0053077F">
              <w:rPr>
                <w:rFonts w:cs="Arial"/>
                <w:sz w:val="24"/>
              </w:rPr>
              <w:t>Week 4 – 5</w:t>
            </w:r>
          </w:p>
          <w:p w14:paraId="22D931EB" w14:textId="41AFFB8F" w:rsidR="0099297B" w:rsidRPr="0053077F" w:rsidRDefault="0099297B" w:rsidP="00F0462F">
            <w:pPr>
              <w:pStyle w:val="7Tablebodycopy"/>
              <w:rPr>
                <w:rFonts w:cs="Arial"/>
                <w:sz w:val="24"/>
              </w:rPr>
            </w:pPr>
            <w:r w:rsidRPr="0053077F">
              <w:rPr>
                <w:rFonts w:cs="Arial"/>
                <w:sz w:val="24"/>
              </w:rPr>
              <w:t>Assessment week and review</w:t>
            </w:r>
          </w:p>
        </w:tc>
        <w:tc>
          <w:tcPr>
            <w:tcW w:w="2254" w:type="dxa"/>
            <w:shd w:val="clear" w:color="auto" w:fill="auto"/>
            <w:tcMar>
              <w:top w:w="113" w:type="dxa"/>
              <w:bottom w:w="113" w:type="dxa"/>
            </w:tcMar>
          </w:tcPr>
          <w:p w14:paraId="015CDAEB" w14:textId="26A383EF" w:rsidR="00D05239" w:rsidRPr="0053077F" w:rsidRDefault="0099297B" w:rsidP="00F0462F">
            <w:pPr>
              <w:pStyle w:val="7Tablebodycopy"/>
              <w:rPr>
                <w:rFonts w:cs="Arial"/>
                <w:sz w:val="24"/>
              </w:rPr>
            </w:pPr>
            <w:r w:rsidRPr="0053077F">
              <w:rPr>
                <w:rFonts w:cs="Arial"/>
                <w:sz w:val="24"/>
              </w:rPr>
              <w:t xml:space="preserve">All children completed summer </w:t>
            </w:r>
            <w:r w:rsidR="00F871CB" w:rsidRPr="0053077F">
              <w:rPr>
                <w:rFonts w:cs="Arial"/>
                <w:sz w:val="24"/>
              </w:rPr>
              <w:t xml:space="preserve">2020 </w:t>
            </w:r>
            <w:r w:rsidRPr="0053077F">
              <w:rPr>
                <w:rFonts w:cs="Arial"/>
                <w:sz w:val="24"/>
              </w:rPr>
              <w:t xml:space="preserve">assessments in </w:t>
            </w:r>
            <w:r w:rsidR="00F871CB" w:rsidRPr="0053077F">
              <w:rPr>
                <w:rFonts w:cs="Arial"/>
                <w:sz w:val="24"/>
              </w:rPr>
              <w:t>reading and maths (NTS) assessments and TA for writing as a baseline so future progress can be tracked</w:t>
            </w:r>
          </w:p>
        </w:tc>
        <w:tc>
          <w:tcPr>
            <w:tcW w:w="3658" w:type="dxa"/>
          </w:tcPr>
          <w:p w14:paraId="624714FA" w14:textId="73AA15BB" w:rsidR="00D05239" w:rsidRPr="0053077F" w:rsidRDefault="00F871CB" w:rsidP="00F0462F">
            <w:pPr>
              <w:pStyle w:val="7Tablebodycopy"/>
              <w:rPr>
                <w:rFonts w:cs="Arial"/>
                <w:sz w:val="24"/>
              </w:rPr>
            </w:pPr>
            <w:r w:rsidRPr="0053077F">
              <w:rPr>
                <w:rFonts w:cs="Arial"/>
                <w:sz w:val="24"/>
              </w:rPr>
              <w:t xml:space="preserve">It was felt that the best indicator of the where the children </w:t>
            </w:r>
            <w:proofErr w:type="gramStart"/>
            <w:r w:rsidRPr="0053077F">
              <w:rPr>
                <w:rFonts w:cs="Arial"/>
                <w:sz w:val="24"/>
              </w:rPr>
              <w:t>were</w:t>
            </w:r>
            <w:proofErr w:type="gramEnd"/>
            <w:r w:rsidRPr="0053077F">
              <w:rPr>
                <w:rFonts w:cs="Arial"/>
                <w:sz w:val="24"/>
              </w:rPr>
              <w:t xml:space="preserve"> was to test them on the summer tests in the autumn term.  The delay in doing so was to ensure that the children were settled before they were tested</w:t>
            </w:r>
          </w:p>
        </w:tc>
        <w:tc>
          <w:tcPr>
            <w:tcW w:w="3660" w:type="dxa"/>
          </w:tcPr>
          <w:p w14:paraId="5BFCB015" w14:textId="49E4D463" w:rsidR="00D05239" w:rsidRPr="0053077F" w:rsidRDefault="00F871CB" w:rsidP="00F0462F">
            <w:pPr>
              <w:pStyle w:val="7Tablebodycopy"/>
              <w:rPr>
                <w:rFonts w:cs="Arial"/>
                <w:sz w:val="24"/>
              </w:rPr>
            </w:pPr>
            <w:r w:rsidRPr="0053077F">
              <w:rPr>
                <w:rFonts w:cs="Arial"/>
                <w:sz w:val="24"/>
              </w:rPr>
              <w:t>Tests were conducted in all year groups to provide a baseline and a target group of children who could easily be identified as requiring additional support in the core subjects.</w:t>
            </w:r>
          </w:p>
        </w:tc>
        <w:tc>
          <w:tcPr>
            <w:tcW w:w="1693" w:type="dxa"/>
          </w:tcPr>
          <w:p w14:paraId="07FC0533" w14:textId="33C6FBF6" w:rsidR="00D05239" w:rsidRPr="0053077F" w:rsidRDefault="00F871CB" w:rsidP="00F0462F">
            <w:pPr>
              <w:pStyle w:val="7Tablebodycopy"/>
              <w:rPr>
                <w:rFonts w:cs="Arial"/>
                <w:sz w:val="24"/>
              </w:rPr>
            </w:pPr>
            <w:r w:rsidRPr="0053077F">
              <w:rPr>
                <w:rFonts w:cs="Arial"/>
                <w:sz w:val="24"/>
              </w:rPr>
              <w:t>NC</w:t>
            </w:r>
          </w:p>
        </w:tc>
        <w:tc>
          <w:tcPr>
            <w:tcW w:w="1598" w:type="dxa"/>
          </w:tcPr>
          <w:p w14:paraId="6A603AC2" w14:textId="1ABF0E58" w:rsidR="00D05239" w:rsidRPr="0053077F" w:rsidRDefault="00F871CB" w:rsidP="00F0462F">
            <w:pPr>
              <w:pStyle w:val="7Tablebodycopy"/>
              <w:rPr>
                <w:rFonts w:cs="Arial"/>
                <w:sz w:val="24"/>
              </w:rPr>
            </w:pPr>
            <w:r w:rsidRPr="0053077F">
              <w:rPr>
                <w:rFonts w:cs="Arial"/>
                <w:sz w:val="24"/>
              </w:rPr>
              <w:t>December 2020</w:t>
            </w:r>
          </w:p>
        </w:tc>
      </w:tr>
      <w:tr w:rsidR="00D05239" w:rsidRPr="0053077F" w14:paraId="04DC91F8" w14:textId="77777777" w:rsidTr="00135BA9">
        <w:trPr>
          <w:cantSplit/>
          <w:trHeight w:val="285"/>
        </w:trPr>
        <w:tc>
          <w:tcPr>
            <w:tcW w:w="13682" w:type="dxa"/>
            <w:gridSpan w:val="5"/>
            <w:shd w:val="clear" w:color="auto" w:fill="auto"/>
            <w:tcMar>
              <w:top w:w="113" w:type="dxa"/>
              <w:bottom w:w="113" w:type="dxa"/>
            </w:tcMar>
          </w:tcPr>
          <w:p w14:paraId="0D8983C0" w14:textId="77777777" w:rsidR="00D05239" w:rsidRPr="0053077F" w:rsidRDefault="00D05239" w:rsidP="00F0462F">
            <w:pPr>
              <w:pStyle w:val="7Tablebodycopy"/>
              <w:jc w:val="right"/>
              <w:rPr>
                <w:rFonts w:cs="Arial"/>
                <w:sz w:val="24"/>
              </w:rPr>
            </w:pPr>
            <w:r w:rsidRPr="0053077F">
              <w:rPr>
                <w:rFonts w:cs="Arial"/>
                <w:sz w:val="24"/>
              </w:rPr>
              <w:t>Total budgeted cost:</w:t>
            </w:r>
          </w:p>
        </w:tc>
        <w:tc>
          <w:tcPr>
            <w:tcW w:w="1598" w:type="dxa"/>
          </w:tcPr>
          <w:p w14:paraId="794559A7" w14:textId="77777777" w:rsidR="00D05239" w:rsidRDefault="00F871CB" w:rsidP="00F0462F">
            <w:pPr>
              <w:pStyle w:val="7Tablebodycopy"/>
              <w:rPr>
                <w:rFonts w:cs="Arial"/>
                <w:sz w:val="24"/>
              </w:rPr>
            </w:pPr>
            <w:r w:rsidRPr="0053077F">
              <w:rPr>
                <w:rFonts w:cs="Arial"/>
                <w:sz w:val="24"/>
              </w:rPr>
              <w:t>0</w:t>
            </w:r>
          </w:p>
          <w:p w14:paraId="6F495D7A" w14:textId="77777777" w:rsidR="0053077F" w:rsidRDefault="0053077F" w:rsidP="00F0462F">
            <w:pPr>
              <w:pStyle w:val="7Tablebodycopy"/>
              <w:rPr>
                <w:rFonts w:cs="Arial"/>
                <w:sz w:val="24"/>
              </w:rPr>
            </w:pPr>
          </w:p>
          <w:p w14:paraId="6F9010AC" w14:textId="748D642F" w:rsidR="0053077F" w:rsidRPr="0053077F" w:rsidRDefault="0053077F" w:rsidP="00F0462F">
            <w:pPr>
              <w:pStyle w:val="7Tablebodycopy"/>
              <w:rPr>
                <w:rFonts w:cs="Arial"/>
                <w:sz w:val="24"/>
              </w:rPr>
            </w:pPr>
          </w:p>
        </w:tc>
      </w:tr>
      <w:tr w:rsidR="00D05239" w:rsidRPr="0053077F" w14:paraId="3C42BDF3" w14:textId="77777777" w:rsidTr="00135BA9">
        <w:trPr>
          <w:cantSplit/>
          <w:trHeight w:val="285"/>
        </w:trPr>
        <w:tc>
          <w:tcPr>
            <w:tcW w:w="15280" w:type="dxa"/>
            <w:gridSpan w:val="6"/>
            <w:shd w:val="clear" w:color="auto" w:fill="D5DCE4" w:themeFill="text2" w:themeFillTint="33"/>
            <w:tcMar>
              <w:top w:w="113" w:type="dxa"/>
              <w:bottom w:w="113" w:type="dxa"/>
            </w:tcMar>
          </w:tcPr>
          <w:p w14:paraId="1CD897C2" w14:textId="77777777" w:rsidR="00D05239" w:rsidRPr="0053077F" w:rsidRDefault="00D05239" w:rsidP="00F0462F">
            <w:pPr>
              <w:pStyle w:val="7Tablebodycopy"/>
              <w:rPr>
                <w:rFonts w:cs="Arial"/>
                <w:sz w:val="24"/>
              </w:rPr>
            </w:pPr>
            <w:r w:rsidRPr="0053077F">
              <w:rPr>
                <w:rFonts w:cs="Arial"/>
                <w:sz w:val="24"/>
              </w:rPr>
              <w:lastRenderedPageBreak/>
              <w:t>Targeted support</w:t>
            </w:r>
          </w:p>
        </w:tc>
      </w:tr>
      <w:tr w:rsidR="00135BA9" w:rsidRPr="0053077F" w14:paraId="61C516A9" w14:textId="77777777" w:rsidTr="00135BA9">
        <w:trPr>
          <w:cantSplit/>
          <w:trHeight w:val="585"/>
        </w:trPr>
        <w:tc>
          <w:tcPr>
            <w:tcW w:w="2417" w:type="dxa"/>
            <w:shd w:val="clear" w:color="auto" w:fill="auto"/>
            <w:tcMar>
              <w:top w:w="113" w:type="dxa"/>
              <w:bottom w:w="113" w:type="dxa"/>
            </w:tcMar>
          </w:tcPr>
          <w:p w14:paraId="677DF043" w14:textId="77777777" w:rsidR="00D05239" w:rsidRPr="0053077F" w:rsidRDefault="00D05239" w:rsidP="00F0462F">
            <w:pPr>
              <w:pStyle w:val="7Tablebodycopy"/>
              <w:rPr>
                <w:rFonts w:cs="Arial"/>
                <w:sz w:val="24"/>
              </w:rPr>
            </w:pPr>
            <w:r w:rsidRPr="0053077F">
              <w:rPr>
                <w:rFonts w:cs="Arial"/>
                <w:sz w:val="24"/>
              </w:rPr>
              <w:t>Action</w:t>
            </w:r>
          </w:p>
        </w:tc>
        <w:tc>
          <w:tcPr>
            <w:tcW w:w="2254" w:type="dxa"/>
            <w:shd w:val="clear" w:color="auto" w:fill="auto"/>
            <w:tcMar>
              <w:top w:w="113" w:type="dxa"/>
              <w:bottom w:w="113" w:type="dxa"/>
            </w:tcMar>
          </w:tcPr>
          <w:p w14:paraId="65772423" w14:textId="77777777" w:rsidR="00D05239" w:rsidRPr="0053077F" w:rsidRDefault="00D05239" w:rsidP="00F0462F">
            <w:pPr>
              <w:pStyle w:val="7Tablebodycopy"/>
              <w:rPr>
                <w:rFonts w:cs="Arial"/>
                <w:sz w:val="24"/>
              </w:rPr>
            </w:pPr>
            <w:r w:rsidRPr="0053077F">
              <w:rPr>
                <w:rFonts w:cs="Arial"/>
                <w:sz w:val="24"/>
              </w:rPr>
              <w:t>Intended outcome and success criteria</w:t>
            </w:r>
          </w:p>
        </w:tc>
        <w:tc>
          <w:tcPr>
            <w:tcW w:w="3658" w:type="dxa"/>
          </w:tcPr>
          <w:p w14:paraId="26B23ED7" w14:textId="77777777" w:rsidR="00D05239" w:rsidRPr="0053077F" w:rsidRDefault="00D05239" w:rsidP="00F0462F">
            <w:pPr>
              <w:pStyle w:val="7Tablebodybulleted"/>
              <w:numPr>
                <w:ilvl w:val="0"/>
                <w:numId w:val="0"/>
              </w:numPr>
              <w:rPr>
                <w:rFonts w:cs="Arial"/>
                <w:sz w:val="24"/>
              </w:rPr>
            </w:pPr>
            <w:r w:rsidRPr="0053077F">
              <w:rPr>
                <w:rFonts w:cs="Arial"/>
                <w:sz w:val="24"/>
              </w:rPr>
              <w:t>What’s the evidence and rationale for this choice?</w:t>
            </w:r>
          </w:p>
        </w:tc>
        <w:tc>
          <w:tcPr>
            <w:tcW w:w="3660" w:type="dxa"/>
          </w:tcPr>
          <w:p w14:paraId="1F2175B4" w14:textId="77777777" w:rsidR="00D05239" w:rsidRPr="0053077F" w:rsidRDefault="00D05239" w:rsidP="00F0462F">
            <w:pPr>
              <w:pStyle w:val="7Tablebodybulleted"/>
              <w:numPr>
                <w:ilvl w:val="0"/>
                <w:numId w:val="0"/>
              </w:numPr>
              <w:ind w:right="27"/>
              <w:rPr>
                <w:rFonts w:cs="Arial"/>
                <w:sz w:val="24"/>
              </w:rPr>
            </w:pPr>
            <w:r w:rsidRPr="0053077F">
              <w:rPr>
                <w:rFonts w:cs="Arial"/>
                <w:sz w:val="24"/>
              </w:rPr>
              <w:t>How will you make sure it’s implemented well?</w:t>
            </w:r>
          </w:p>
        </w:tc>
        <w:tc>
          <w:tcPr>
            <w:tcW w:w="1693" w:type="dxa"/>
          </w:tcPr>
          <w:p w14:paraId="61AD4BB0" w14:textId="77777777" w:rsidR="00D05239" w:rsidRPr="0053077F" w:rsidRDefault="00D05239" w:rsidP="00F0462F">
            <w:pPr>
              <w:pStyle w:val="7Tablebodybulleted"/>
              <w:numPr>
                <w:ilvl w:val="0"/>
                <w:numId w:val="0"/>
              </w:numPr>
              <w:rPr>
                <w:rFonts w:cs="Arial"/>
                <w:sz w:val="24"/>
              </w:rPr>
            </w:pPr>
            <w:r w:rsidRPr="0053077F">
              <w:rPr>
                <w:rFonts w:cs="Arial"/>
                <w:sz w:val="24"/>
              </w:rPr>
              <w:t>Staff lead</w:t>
            </w:r>
          </w:p>
        </w:tc>
        <w:tc>
          <w:tcPr>
            <w:tcW w:w="1598" w:type="dxa"/>
          </w:tcPr>
          <w:p w14:paraId="503D7BD9" w14:textId="77777777" w:rsidR="00D05239" w:rsidRPr="0053077F" w:rsidRDefault="00D05239" w:rsidP="00F0462F">
            <w:pPr>
              <w:pStyle w:val="7Tablebodybulleted"/>
              <w:numPr>
                <w:ilvl w:val="0"/>
                <w:numId w:val="0"/>
              </w:numPr>
              <w:ind w:right="-18"/>
              <w:rPr>
                <w:rFonts w:cs="Arial"/>
                <w:sz w:val="24"/>
              </w:rPr>
            </w:pPr>
            <w:r w:rsidRPr="0053077F">
              <w:rPr>
                <w:rFonts w:cs="Arial"/>
                <w:sz w:val="24"/>
              </w:rPr>
              <w:t>When will you review this?</w:t>
            </w:r>
          </w:p>
        </w:tc>
      </w:tr>
      <w:tr w:rsidR="00135BA9" w:rsidRPr="0053077F" w14:paraId="3FAB7AE7" w14:textId="77777777" w:rsidTr="00135BA9">
        <w:trPr>
          <w:cantSplit/>
          <w:trHeight w:val="285"/>
        </w:trPr>
        <w:tc>
          <w:tcPr>
            <w:tcW w:w="2417" w:type="dxa"/>
            <w:shd w:val="clear" w:color="auto" w:fill="auto"/>
            <w:tcMar>
              <w:top w:w="113" w:type="dxa"/>
              <w:bottom w:w="113" w:type="dxa"/>
            </w:tcMar>
          </w:tcPr>
          <w:p w14:paraId="610341A3" w14:textId="14CEA3A4" w:rsidR="00D05239" w:rsidRPr="0053077F" w:rsidRDefault="00F871CB" w:rsidP="00F0462F">
            <w:pPr>
              <w:pStyle w:val="7Tablebodycopy"/>
              <w:rPr>
                <w:rFonts w:cs="Arial"/>
                <w:sz w:val="24"/>
              </w:rPr>
            </w:pPr>
            <w:r w:rsidRPr="0053077F">
              <w:rPr>
                <w:rFonts w:cs="Arial"/>
                <w:sz w:val="24"/>
              </w:rPr>
              <w:t>Employment of additional staff</w:t>
            </w:r>
          </w:p>
        </w:tc>
        <w:tc>
          <w:tcPr>
            <w:tcW w:w="2254" w:type="dxa"/>
            <w:shd w:val="clear" w:color="auto" w:fill="auto"/>
            <w:tcMar>
              <w:top w:w="113" w:type="dxa"/>
              <w:bottom w:w="113" w:type="dxa"/>
            </w:tcMar>
          </w:tcPr>
          <w:p w14:paraId="54F9E7CD" w14:textId="5EA73EDE" w:rsidR="00D05239" w:rsidRPr="0053077F" w:rsidRDefault="00F871CB" w:rsidP="00F0462F">
            <w:pPr>
              <w:pStyle w:val="7Tablebodycopy"/>
              <w:rPr>
                <w:rFonts w:cs="Arial"/>
                <w:sz w:val="24"/>
              </w:rPr>
            </w:pPr>
            <w:r w:rsidRPr="0053077F">
              <w:rPr>
                <w:rFonts w:cs="Arial"/>
                <w:sz w:val="24"/>
              </w:rPr>
              <w:t>Those children identified as requiring additional catch up support will catch up with where we expect them to be</w:t>
            </w:r>
          </w:p>
        </w:tc>
        <w:tc>
          <w:tcPr>
            <w:tcW w:w="3658" w:type="dxa"/>
          </w:tcPr>
          <w:p w14:paraId="123E784B" w14:textId="0C4390B8" w:rsidR="00D05239" w:rsidRPr="0053077F" w:rsidRDefault="00F871CB" w:rsidP="00F0462F">
            <w:pPr>
              <w:pStyle w:val="7Tablebodycopy"/>
              <w:rPr>
                <w:rFonts w:cs="Arial"/>
                <w:sz w:val="24"/>
              </w:rPr>
            </w:pPr>
            <w:r w:rsidRPr="0053077F">
              <w:rPr>
                <w:rFonts w:cs="Arial"/>
                <w:sz w:val="24"/>
              </w:rPr>
              <w:t xml:space="preserve">It was felt that the additional funding would be used to employ teachers to work within the classrooms thus releasing existing class teachers to work with those children needing the extra catch up work.  Those children who had been identified work better with people who know them – their class teachers could provide them with what they specifically needed rather than having to explain to an unknown teacher </w:t>
            </w:r>
            <w:proofErr w:type="spellStart"/>
            <w:r w:rsidRPr="0053077F">
              <w:rPr>
                <w:rFonts w:cs="Arial"/>
                <w:sz w:val="24"/>
              </w:rPr>
              <w:t>etc</w:t>
            </w:r>
            <w:proofErr w:type="spellEnd"/>
            <w:r w:rsidRPr="0053077F">
              <w:rPr>
                <w:rFonts w:cs="Arial"/>
                <w:sz w:val="24"/>
              </w:rPr>
              <w:t xml:space="preserve">, </w:t>
            </w:r>
          </w:p>
        </w:tc>
        <w:tc>
          <w:tcPr>
            <w:tcW w:w="3660" w:type="dxa"/>
          </w:tcPr>
          <w:p w14:paraId="0199A067" w14:textId="4CC283B3" w:rsidR="00D05239" w:rsidRPr="0053077F" w:rsidRDefault="00F871CB" w:rsidP="00F0462F">
            <w:pPr>
              <w:pStyle w:val="7Tablebodycopy"/>
              <w:rPr>
                <w:rFonts w:cs="Arial"/>
                <w:sz w:val="24"/>
              </w:rPr>
            </w:pPr>
            <w:r w:rsidRPr="0053077F">
              <w:rPr>
                <w:rFonts w:cs="Arial"/>
                <w:sz w:val="24"/>
              </w:rPr>
              <w:t>Class teachers have planned additional teacher sessions for the additional teachers and are able to provide additional and different support to the target groups.  This is implemented well</w:t>
            </w:r>
            <w:r w:rsidR="00135BA9" w:rsidRPr="0053077F">
              <w:rPr>
                <w:rFonts w:cs="Arial"/>
                <w:sz w:val="24"/>
              </w:rPr>
              <w:t>,</w:t>
            </w:r>
            <w:r w:rsidRPr="0053077F">
              <w:rPr>
                <w:rFonts w:cs="Arial"/>
                <w:sz w:val="24"/>
              </w:rPr>
              <w:t xml:space="preserve"> as teachers know immediately what their children need</w:t>
            </w:r>
            <w:r w:rsidR="00135BA9" w:rsidRPr="0053077F">
              <w:rPr>
                <w:rFonts w:cs="Arial"/>
                <w:sz w:val="24"/>
              </w:rPr>
              <w:t xml:space="preserve"> because of knowing them so well – what the children did not understand/miss from lockdown can be addressed.</w:t>
            </w:r>
          </w:p>
        </w:tc>
        <w:tc>
          <w:tcPr>
            <w:tcW w:w="1693" w:type="dxa"/>
          </w:tcPr>
          <w:p w14:paraId="7DAB4A02" w14:textId="42E3CDC7" w:rsidR="00D05239" w:rsidRPr="0053077F" w:rsidRDefault="00135BA9" w:rsidP="00F0462F">
            <w:pPr>
              <w:pStyle w:val="7Tablebodycopy"/>
              <w:rPr>
                <w:rFonts w:cs="Arial"/>
                <w:sz w:val="24"/>
              </w:rPr>
            </w:pPr>
            <w:r w:rsidRPr="0053077F">
              <w:rPr>
                <w:rFonts w:cs="Arial"/>
                <w:sz w:val="24"/>
              </w:rPr>
              <w:t>NC</w:t>
            </w:r>
          </w:p>
        </w:tc>
        <w:tc>
          <w:tcPr>
            <w:tcW w:w="1598" w:type="dxa"/>
          </w:tcPr>
          <w:p w14:paraId="49A7FCC7" w14:textId="77777777" w:rsidR="00D05239" w:rsidRPr="0053077F" w:rsidRDefault="00135BA9" w:rsidP="00F0462F">
            <w:pPr>
              <w:pStyle w:val="7Tablebodycopy"/>
              <w:rPr>
                <w:rFonts w:cs="Arial"/>
                <w:sz w:val="24"/>
              </w:rPr>
            </w:pPr>
            <w:r w:rsidRPr="0053077F">
              <w:rPr>
                <w:rFonts w:cs="Arial"/>
                <w:sz w:val="24"/>
              </w:rPr>
              <w:t>December 2020</w:t>
            </w:r>
          </w:p>
          <w:p w14:paraId="297C86C4" w14:textId="77777777" w:rsidR="00135BA9" w:rsidRPr="0053077F" w:rsidRDefault="00135BA9" w:rsidP="00F0462F">
            <w:pPr>
              <w:pStyle w:val="7Tablebodycopy"/>
              <w:rPr>
                <w:rFonts w:cs="Arial"/>
                <w:sz w:val="24"/>
              </w:rPr>
            </w:pPr>
            <w:r w:rsidRPr="0053077F">
              <w:rPr>
                <w:rFonts w:cs="Arial"/>
                <w:sz w:val="24"/>
              </w:rPr>
              <w:t xml:space="preserve">February </w:t>
            </w:r>
          </w:p>
          <w:p w14:paraId="256DB945" w14:textId="243BE994" w:rsidR="00135BA9" w:rsidRPr="0053077F" w:rsidRDefault="00135BA9" w:rsidP="00F0462F">
            <w:pPr>
              <w:pStyle w:val="7Tablebodycopy"/>
              <w:rPr>
                <w:rFonts w:cs="Arial"/>
                <w:sz w:val="24"/>
              </w:rPr>
            </w:pPr>
            <w:r w:rsidRPr="0053077F">
              <w:rPr>
                <w:rFonts w:cs="Arial"/>
                <w:sz w:val="24"/>
              </w:rPr>
              <w:t>2021</w:t>
            </w:r>
          </w:p>
          <w:p w14:paraId="39E49ECA" w14:textId="77777777" w:rsidR="00135BA9" w:rsidRPr="0053077F" w:rsidRDefault="00135BA9" w:rsidP="00F0462F">
            <w:pPr>
              <w:pStyle w:val="7Tablebodycopy"/>
              <w:rPr>
                <w:rFonts w:cs="Arial"/>
                <w:sz w:val="24"/>
              </w:rPr>
            </w:pPr>
            <w:r w:rsidRPr="0053077F">
              <w:rPr>
                <w:rFonts w:cs="Arial"/>
                <w:sz w:val="24"/>
              </w:rPr>
              <w:t xml:space="preserve">March </w:t>
            </w:r>
          </w:p>
          <w:p w14:paraId="146CFAF0" w14:textId="77777777" w:rsidR="00135BA9" w:rsidRPr="0053077F" w:rsidRDefault="00135BA9" w:rsidP="00F0462F">
            <w:pPr>
              <w:pStyle w:val="7Tablebodycopy"/>
              <w:rPr>
                <w:rFonts w:cs="Arial"/>
                <w:sz w:val="24"/>
              </w:rPr>
            </w:pPr>
            <w:r w:rsidRPr="0053077F">
              <w:rPr>
                <w:rFonts w:cs="Arial"/>
                <w:sz w:val="24"/>
              </w:rPr>
              <w:t>2021</w:t>
            </w:r>
          </w:p>
          <w:p w14:paraId="3960555C" w14:textId="77777777" w:rsidR="00135BA9" w:rsidRPr="0053077F" w:rsidRDefault="00135BA9" w:rsidP="00F0462F">
            <w:pPr>
              <w:pStyle w:val="7Tablebodycopy"/>
              <w:rPr>
                <w:rFonts w:cs="Arial"/>
                <w:sz w:val="24"/>
              </w:rPr>
            </w:pPr>
          </w:p>
          <w:p w14:paraId="7FE67E29" w14:textId="77777777" w:rsidR="00135BA9" w:rsidRPr="0053077F" w:rsidRDefault="00135BA9" w:rsidP="00F0462F">
            <w:pPr>
              <w:pStyle w:val="7Tablebodycopy"/>
              <w:rPr>
                <w:rFonts w:cs="Arial"/>
                <w:sz w:val="24"/>
              </w:rPr>
            </w:pPr>
          </w:p>
          <w:p w14:paraId="627364F7" w14:textId="77777777" w:rsidR="00135BA9" w:rsidRPr="0053077F" w:rsidRDefault="00135BA9" w:rsidP="00F0462F">
            <w:pPr>
              <w:pStyle w:val="7Tablebodycopy"/>
              <w:rPr>
                <w:rFonts w:cs="Arial"/>
                <w:sz w:val="24"/>
              </w:rPr>
            </w:pPr>
          </w:p>
          <w:p w14:paraId="2F433094" w14:textId="491BE767" w:rsidR="00135BA9" w:rsidRPr="0053077F" w:rsidRDefault="00135BA9" w:rsidP="00F0462F">
            <w:pPr>
              <w:pStyle w:val="7Tablebodycopy"/>
              <w:rPr>
                <w:rFonts w:cs="Arial"/>
                <w:sz w:val="24"/>
              </w:rPr>
            </w:pPr>
            <w:r w:rsidRPr="0053077F">
              <w:rPr>
                <w:rFonts w:cs="Arial"/>
                <w:sz w:val="24"/>
              </w:rPr>
              <w:t>£8140</w:t>
            </w:r>
          </w:p>
        </w:tc>
      </w:tr>
      <w:tr w:rsidR="00135BA9" w:rsidRPr="0053077F" w14:paraId="7261F4A0" w14:textId="77777777" w:rsidTr="00135BA9">
        <w:trPr>
          <w:cantSplit/>
          <w:trHeight w:val="285"/>
        </w:trPr>
        <w:tc>
          <w:tcPr>
            <w:tcW w:w="2417" w:type="dxa"/>
            <w:shd w:val="clear" w:color="auto" w:fill="auto"/>
            <w:tcMar>
              <w:top w:w="113" w:type="dxa"/>
              <w:bottom w:w="113" w:type="dxa"/>
            </w:tcMar>
          </w:tcPr>
          <w:p w14:paraId="3096C14B" w14:textId="7EB68E8B" w:rsidR="00D05239" w:rsidRPr="0053077F" w:rsidRDefault="00135BA9" w:rsidP="00F0462F">
            <w:pPr>
              <w:pStyle w:val="7Tablebodycopy"/>
              <w:rPr>
                <w:rFonts w:cs="Arial"/>
                <w:sz w:val="24"/>
              </w:rPr>
            </w:pPr>
            <w:r w:rsidRPr="0053077F">
              <w:rPr>
                <w:rFonts w:cs="Arial"/>
                <w:sz w:val="24"/>
              </w:rPr>
              <w:t>Use of additional intervention resources</w:t>
            </w:r>
          </w:p>
        </w:tc>
        <w:tc>
          <w:tcPr>
            <w:tcW w:w="2254" w:type="dxa"/>
            <w:shd w:val="clear" w:color="auto" w:fill="auto"/>
            <w:tcMar>
              <w:top w:w="113" w:type="dxa"/>
              <w:bottom w:w="113" w:type="dxa"/>
            </w:tcMar>
          </w:tcPr>
          <w:p w14:paraId="228217C4" w14:textId="6E519F3E" w:rsidR="00D05239" w:rsidRPr="0053077F" w:rsidRDefault="00135BA9" w:rsidP="00F0462F">
            <w:pPr>
              <w:pStyle w:val="7Tablebodycopy"/>
              <w:rPr>
                <w:rFonts w:cs="Arial"/>
                <w:sz w:val="24"/>
              </w:rPr>
            </w:pPr>
            <w:r w:rsidRPr="0053077F">
              <w:rPr>
                <w:rFonts w:cs="Arial"/>
                <w:sz w:val="24"/>
              </w:rPr>
              <w:t>The intervention programmes that we use are based on the assessments that the children complete.  The tests generate specific intervention programmes</w:t>
            </w:r>
          </w:p>
        </w:tc>
        <w:tc>
          <w:tcPr>
            <w:tcW w:w="3658" w:type="dxa"/>
          </w:tcPr>
          <w:p w14:paraId="73D6728C" w14:textId="4B97508C" w:rsidR="00D05239" w:rsidRPr="0053077F" w:rsidRDefault="00135BA9" w:rsidP="00F0462F">
            <w:pPr>
              <w:pStyle w:val="7Tablebodycopy"/>
              <w:rPr>
                <w:rFonts w:cs="Arial"/>
                <w:sz w:val="24"/>
              </w:rPr>
            </w:pPr>
            <w:r w:rsidRPr="0053077F">
              <w:rPr>
                <w:rFonts w:cs="Arial"/>
                <w:sz w:val="24"/>
              </w:rPr>
              <w:t>The money saved will be used to provide the intervention packages that can be delivered by teaching staff initially and then by Tas once the funding has been spent</w:t>
            </w:r>
          </w:p>
        </w:tc>
        <w:tc>
          <w:tcPr>
            <w:tcW w:w="3660" w:type="dxa"/>
          </w:tcPr>
          <w:p w14:paraId="04F5557B" w14:textId="3CADC616" w:rsidR="00D05239" w:rsidRPr="0053077F" w:rsidRDefault="00135BA9" w:rsidP="00F0462F">
            <w:pPr>
              <w:pStyle w:val="7Tablebodycopy"/>
              <w:rPr>
                <w:rFonts w:cs="Arial"/>
                <w:sz w:val="24"/>
              </w:rPr>
            </w:pPr>
            <w:r w:rsidRPr="0053077F">
              <w:rPr>
                <w:rFonts w:cs="Arial"/>
                <w:sz w:val="24"/>
              </w:rPr>
              <w:t xml:space="preserve">Teachers take part in weekly sessions with their </w:t>
            </w:r>
            <w:proofErr w:type="spellStart"/>
            <w:r w:rsidRPr="0053077F">
              <w:rPr>
                <w:rFonts w:cs="Arial"/>
                <w:sz w:val="24"/>
              </w:rPr>
              <w:t>targetted</w:t>
            </w:r>
            <w:proofErr w:type="spellEnd"/>
            <w:r w:rsidRPr="0053077F">
              <w:rPr>
                <w:rFonts w:cs="Arial"/>
                <w:sz w:val="24"/>
              </w:rPr>
              <w:t xml:space="preserve"> groups concentrating on gaps in children’s learning that the assessments have identified.  </w:t>
            </w:r>
          </w:p>
        </w:tc>
        <w:tc>
          <w:tcPr>
            <w:tcW w:w="1693" w:type="dxa"/>
          </w:tcPr>
          <w:p w14:paraId="52DD0375" w14:textId="7D355A6C" w:rsidR="00D05239" w:rsidRPr="0053077F" w:rsidRDefault="00135BA9" w:rsidP="00F0462F">
            <w:pPr>
              <w:pStyle w:val="7Tablebodycopy"/>
              <w:rPr>
                <w:rFonts w:cs="Arial"/>
                <w:sz w:val="24"/>
              </w:rPr>
            </w:pPr>
            <w:r w:rsidRPr="0053077F">
              <w:rPr>
                <w:rFonts w:cs="Arial"/>
                <w:sz w:val="24"/>
              </w:rPr>
              <w:t>NC</w:t>
            </w:r>
          </w:p>
        </w:tc>
        <w:tc>
          <w:tcPr>
            <w:tcW w:w="1598" w:type="dxa"/>
          </w:tcPr>
          <w:p w14:paraId="03DA8D0E" w14:textId="4D81CD32" w:rsidR="00D05239" w:rsidRPr="0053077F" w:rsidRDefault="00135BA9" w:rsidP="00F0462F">
            <w:pPr>
              <w:pStyle w:val="7Tablebodycopy"/>
              <w:rPr>
                <w:rFonts w:cs="Arial"/>
                <w:sz w:val="24"/>
              </w:rPr>
            </w:pPr>
            <w:r w:rsidRPr="0053077F">
              <w:rPr>
                <w:rFonts w:cs="Arial"/>
                <w:sz w:val="24"/>
              </w:rPr>
              <w:t>£1160</w:t>
            </w:r>
          </w:p>
        </w:tc>
      </w:tr>
      <w:tr w:rsidR="00D05239" w:rsidRPr="0053077F" w14:paraId="12C10997" w14:textId="77777777" w:rsidTr="00135BA9">
        <w:trPr>
          <w:cantSplit/>
          <w:trHeight w:val="285"/>
        </w:trPr>
        <w:tc>
          <w:tcPr>
            <w:tcW w:w="13682" w:type="dxa"/>
            <w:gridSpan w:val="5"/>
            <w:shd w:val="clear" w:color="auto" w:fill="auto"/>
            <w:tcMar>
              <w:top w:w="113" w:type="dxa"/>
              <w:bottom w:w="113" w:type="dxa"/>
            </w:tcMar>
          </w:tcPr>
          <w:p w14:paraId="32F29437" w14:textId="77777777" w:rsidR="00D05239" w:rsidRPr="0053077F" w:rsidRDefault="00D05239" w:rsidP="00F0462F">
            <w:pPr>
              <w:pStyle w:val="7Tablebodycopy"/>
              <w:jc w:val="right"/>
              <w:rPr>
                <w:rFonts w:cs="Arial"/>
                <w:sz w:val="24"/>
              </w:rPr>
            </w:pPr>
            <w:r w:rsidRPr="0053077F">
              <w:rPr>
                <w:rFonts w:cs="Arial"/>
                <w:sz w:val="24"/>
              </w:rPr>
              <w:t>Total budgeted cost:</w:t>
            </w:r>
          </w:p>
        </w:tc>
        <w:tc>
          <w:tcPr>
            <w:tcW w:w="1598" w:type="dxa"/>
          </w:tcPr>
          <w:p w14:paraId="1F2CBFA6" w14:textId="1EFBE79C" w:rsidR="00D05239" w:rsidRPr="0053077F" w:rsidRDefault="00135BA9" w:rsidP="00F0462F">
            <w:pPr>
              <w:pStyle w:val="7Tablebodycopy"/>
              <w:rPr>
                <w:rFonts w:cs="Arial"/>
                <w:sz w:val="24"/>
              </w:rPr>
            </w:pPr>
            <w:r w:rsidRPr="0053077F">
              <w:rPr>
                <w:rFonts w:cs="Arial"/>
                <w:sz w:val="24"/>
              </w:rPr>
              <w:t xml:space="preserve">£9300 </w:t>
            </w:r>
          </w:p>
        </w:tc>
      </w:tr>
    </w:tbl>
    <w:p w14:paraId="765B7DA9" w14:textId="77777777" w:rsidR="00D05239" w:rsidRPr="0053077F" w:rsidRDefault="00D05239" w:rsidP="00D05239">
      <w:pPr>
        <w:pStyle w:val="1bodycopy"/>
        <w:rPr>
          <w:rFonts w:cs="Arial"/>
          <w:sz w:val="24"/>
        </w:rPr>
      </w:pPr>
    </w:p>
    <w:tbl>
      <w:tblPr>
        <w:tblW w:w="15588" w:type="dxa"/>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5588"/>
      </w:tblGrid>
      <w:tr w:rsidR="00D05239" w:rsidRPr="0053077F" w14:paraId="63FBD147" w14:textId="77777777" w:rsidTr="00F0462F">
        <w:trPr>
          <w:cantSplit/>
          <w:trHeight w:val="237"/>
          <w:tblHeader/>
        </w:trPr>
        <w:tc>
          <w:tcPr>
            <w:tcW w:w="15588" w:type="dxa"/>
            <w:tcBorders>
              <w:top w:val="single" w:sz="4" w:space="0" w:color="12263F"/>
              <w:left w:val="single" w:sz="4" w:space="0" w:color="12263F"/>
              <w:bottom w:val="single" w:sz="4" w:space="0" w:color="12263F"/>
              <w:right w:val="single" w:sz="4" w:space="0" w:color="12263F"/>
              <w:tl2br w:val="nil"/>
              <w:tr2bl w:val="nil"/>
            </w:tcBorders>
            <w:shd w:val="clear" w:color="auto" w:fill="D5DCE4" w:themeFill="text2" w:themeFillTint="33"/>
            <w:tcMar>
              <w:top w:w="113" w:type="dxa"/>
              <w:bottom w:w="113" w:type="dxa"/>
            </w:tcMar>
          </w:tcPr>
          <w:p w14:paraId="2EF0B927" w14:textId="77777777" w:rsidR="00D05239" w:rsidRPr="0053077F" w:rsidRDefault="00D05239" w:rsidP="00F0462F">
            <w:pPr>
              <w:pStyle w:val="1bodycopy"/>
              <w:spacing w:after="0"/>
              <w:rPr>
                <w:rFonts w:cs="Arial"/>
                <w:caps/>
                <w:color w:val="F8F8F8"/>
                <w:sz w:val="24"/>
              </w:rPr>
            </w:pPr>
            <w:r w:rsidRPr="0053077F">
              <w:rPr>
                <w:rFonts w:cs="Arial"/>
                <w:caps/>
                <w:sz w:val="24"/>
              </w:rPr>
              <w:lastRenderedPageBreak/>
              <w:t>additional information</w:t>
            </w:r>
          </w:p>
        </w:tc>
      </w:tr>
      <w:tr w:rsidR="00D05239" w:rsidRPr="0053077F" w14:paraId="012618AE" w14:textId="77777777" w:rsidTr="0053077F">
        <w:trPr>
          <w:cantSplit/>
          <w:trHeight w:val="1381"/>
        </w:trPr>
        <w:tc>
          <w:tcPr>
            <w:tcW w:w="15588" w:type="dxa"/>
            <w:shd w:val="clear" w:color="auto" w:fill="auto"/>
            <w:tcMar>
              <w:top w:w="113" w:type="dxa"/>
              <w:bottom w:w="113" w:type="dxa"/>
            </w:tcMar>
          </w:tcPr>
          <w:p w14:paraId="2A2CF7BA" w14:textId="2F7F0C7C" w:rsidR="00D05239" w:rsidRPr="0053077F" w:rsidRDefault="00135BA9" w:rsidP="00135BA9">
            <w:pPr>
              <w:pStyle w:val="7Tablebodybulleted"/>
              <w:numPr>
                <w:ilvl w:val="0"/>
                <w:numId w:val="0"/>
              </w:numPr>
              <w:rPr>
                <w:rFonts w:cs="Arial"/>
                <w:sz w:val="24"/>
              </w:rPr>
            </w:pPr>
            <w:r w:rsidRPr="0053077F">
              <w:rPr>
                <w:rFonts w:cs="Arial"/>
                <w:sz w:val="24"/>
              </w:rPr>
              <w:t xml:space="preserve">We use NTS assessments three times a year to inform our pupil’s progress in reading and maths.  Data </w:t>
            </w:r>
            <w:r w:rsidR="0053077F" w:rsidRPr="0053077F">
              <w:rPr>
                <w:rFonts w:cs="Arial"/>
                <w:sz w:val="24"/>
              </w:rPr>
              <w:t>acquired from the results of these assessments are submitted into a spreadsheet on the Rising Star website and this data generates bespoke packages of intervention focusing on the gaps in the learning.</w:t>
            </w:r>
          </w:p>
          <w:p w14:paraId="4ED94B2F" w14:textId="43DB2F84" w:rsidR="00135BA9" w:rsidRPr="0053077F" w:rsidRDefault="00135BA9" w:rsidP="00135BA9">
            <w:pPr>
              <w:pStyle w:val="7Tablebodybulleted"/>
              <w:numPr>
                <w:ilvl w:val="0"/>
                <w:numId w:val="0"/>
              </w:numPr>
              <w:rPr>
                <w:rFonts w:cs="Arial"/>
                <w:sz w:val="24"/>
                <w:highlight w:val="yellow"/>
              </w:rPr>
            </w:pPr>
            <w:r w:rsidRPr="0053077F">
              <w:rPr>
                <w:rFonts w:cs="Arial"/>
                <w:sz w:val="24"/>
              </w:rPr>
              <w:t>We use Teacher Assessment three times a year t</w:t>
            </w:r>
            <w:r w:rsidR="0053077F" w:rsidRPr="0053077F">
              <w:rPr>
                <w:rFonts w:cs="Arial"/>
                <w:sz w:val="24"/>
              </w:rPr>
              <w:t>o</w:t>
            </w:r>
            <w:r w:rsidRPr="0053077F">
              <w:rPr>
                <w:rFonts w:cs="Arial"/>
                <w:sz w:val="24"/>
              </w:rPr>
              <w:t xml:space="preserve"> inform our pupil’s progress in writing</w:t>
            </w:r>
            <w:r w:rsidR="0053077F" w:rsidRPr="0053077F">
              <w:rPr>
                <w:rFonts w:cs="Arial"/>
                <w:sz w:val="24"/>
              </w:rPr>
              <w:t>.  Both senior teachers in the federation are LA approved writing moderators and their skills, knowledge and experience provides the federation with an accurate picture if where our children are in terms of their academic position.  Identified gaps in the children’s learning can then be filled in the catch-up groups.</w:t>
            </w:r>
          </w:p>
        </w:tc>
      </w:tr>
    </w:tbl>
    <w:p w14:paraId="2D8D6D14" w14:textId="77777777" w:rsidR="00D05239" w:rsidRPr="0053077F" w:rsidRDefault="00D05239" w:rsidP="00D05239">
      <w:pPr>
        <w:pStyle w:val="1bodycopy"/>
        <w:rPr>
          <w:rFonts w:cs="Arial"/>
          <w:sz w:val="24"/>
        </w:rPr>
      </w:pPr>
    </w:p>
    <w:p w14:paraId="259E7601" w14:textId="77777777" w:rsidR="00D05239" w:rsidRPr="0053077F" w:rsidRDefault="00D05239" w:rsidP="00D05239">
      <w:pPr>
        <w:rPr>
          <w:rFonts w:ascii="Arial" w:hAnsi="Arial" w:cs="Arial"/>
          <w:sz w:val="24"/>
          <w:szCs w:val="24"/>
        </w:rPr>
      </w:pPr>
    </w:p>
    <w:p w14:paraId="244272DF" w14:textId="77777777" w:rsidR="004F3D17" w:rsidRPr="0053077F" w:rsidRDefault="007E5217">
      <w:pPr>
        <w:rPr>
          <w:rFonts w:ascii="Arial" w:hAnsi="Arial" w:cs="Arial"/>
          <w:sz w:val="24"/>
          <w:szCs w:val="24"/>
        </w:rPr>
      </w:pPr>
    </w:p>
    <w:sectPr w:rsidR="004F3D17" w:rsidRPr="0053077F" w:rsidSect="00D05239">
      <w:head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4702A6" w14:textId="77777777" w:rsidR="007E5217" w:rsidRDefault="007E5217" w:rsidP="00D05239">
      <w:r>
        <w:separator/>
      </w:r>
    </w:p>
  </w:endnote>
  <w:endnote w:type="continuationSeparator" w:id="0">
    <w:p w14:paraId="17EA1890" w14:textId="77777777" w:rsidR="007E5217" w:rsidRDefault="007E5217" w:rsidP="00D05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B729CE" w14:textId="77777777" w:rsidR="007E5217" w:rsidRDefault="007E5217" w:rsidP="00D05239">
      <w:r>
        <w:separator/>
      </w:r>
    </w:p>
  </w:footnote>
  <w:footnote w:type="continuationSeparator" w:id="0">
    <w:p w14:paraId="2937D947" w14:textId="77777777" w:rsidR="007E5217" w:rsidRDefault="007E5217" w:rsidP="00D052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1CC42" w14:textId="0A65D243" w:rsidR="0008301F" w:rsidRDefault="00D05239" w:rsidP="00D05239">
    <w:pPr>
      <w:pStyle w:val="1bodycopy"/>
      <w:tabs>
        <w:tab w:val="left" w:pos="4233"/>
      </w:tabs>
    </w:pPr>
    <w:r>
      <w:tab/>
      <w:t>Darley and Summerbridge Community Primary School Federation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208.85pt;height:332.05pt" o:bullet="t">
        <v:imagedata r:id="rId1" o:title="TK_LOGO_POINTER_RGB_bullet_blue"/>
      </v:shape>
    </w:pict>
  </w:numPicBullet>
  <w:abstractNum w:abstractNumId="0" w15:restartNumberingAfterBreak="0">
    <w:nsid w:val="11AA63AE"/>
    <w:multiLevelType w:val="hybridMultilevel"/>
    <w:tmpl w:val="68A60EE2"/>
    <w:lvl w:ilvl="0" w:tplc="4B101A06">
      <w:start w:val="1"/>
      <w:numFmt w:val="bullet"/>
      <w:pStyle w:val="7Tablecop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602656"/>
    <w:multiLevelType w:val="hybridMultilevel"/>
    <w:tmpl w:val="01F2E7C6"/>
    <w:lvl w:ilvl="0" w:tplc="FB9670CC">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3" w15:restartNumberingAfterBreak="0">
    <w:nsid w:val="7EF95988"/>
    <w:multiLevelType w:val="hybridMultilevel"/>
    <w:tmpl w:val="7340C806"/>
    <w:lvl w:ilvl="0" w:tplc="49441CC4">
      <w:start w:val="1"/>
      <w:numFmt w:val="bullet"/>
      <w:pStyle w:val="3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mirrorMargins/>
  <w:proofState w:spelling="clean" w:grammar="clean"/>
  <w:defaultTabStop w:val="720"/>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239"/>
    <w:rsid w:val="0000710B"/>
    <w:rsid w:val="00007974"/>
    <w:rsid w:val="00011BF4"/>
    <w:rsid w:val="00012FFE"/>
    <w:rsid w:val="00021DC1"/>
    <w:rsid w:val="00025117"/>
    <w:rsid w:val="00025550"/>
    <w:rsid w:val="00030106"/>
    <w:rsid w:val="000333F8"/>
    <w:rsid w:val="00057622"/>
    <w:rsid w:val="0008214B"/>
    <w:rsid w:val="00092493"/>
    <w:rsid w:val="000A33EE"/>
    <w:rsid w:val="000A443C"/>
    <w:rsid w:val="000A4731"/>
    <w:rsid w:val="000D196F"/>
    <w:rsid w:val="000D2A0C"/>
    <w:rsid w:val="000E1E29"/>
    <w:rsid w:val="000F498F"/>
    <w:rsid w:val="000F7F58"/>
    <w:rsid w:val="000F7F68"/>
    <w:rsid w:val="00103BDA"/>
    <w:rsid w:val="0011089E"/>
    <w:rsid w:val="00122541"/>
    <w:rsid w:val="00125D4E"/>
    <w:rsid w:val="00135BA9"/>
    <w:rsid w:val="00137F38"/>
    <w:rsid w:val="00146DE5"/>
    <w:rsid w:val="001667DA"/>
    <w:rsid w:val="00177716"/>
    <w:rsid w:val="00185CCA"/>
    <w:rsid w:val="001923B2"/>
    <w:rsid w:val="00194028"/>
    <w:rsid w:val="00197F9E"/>
    <w:rsid w:val="001A451D"/>
    <w:rsid w:val="001A7561"/>
    <w:rsid w:val="001E6C42"/>
    <w:rsid w:val="001F4E15"/>
    <w:rsid w:val="002068B5"/>
    <w:rsid w:val="00207D69"/>
    <w:rsid w:val="002226B7"/>
    <w:rsid w:val="0023579A"/>
    <w:rsid w:val="0023774A"/>
    <w:rsid w:val="0024204D"/>
    <w:rsid w:val="002606D1"/>
    <w:rsid w:val="00267CEE"/>
    <w:rsid w:val="0027064B"/>
    <w:rsid w:val="002718EE"/>
    <w:rsid w:val="0028126B"/>
    <w:rsid w:val="00286CB8"/>
    <w:rsid w:val="00296E43"/>
    <w:rsid w:val="002B0CEC"/>
    <w:rsid w:val="002B4482"/>
    <w:rsid w:val="002B7514"/>
    <w:rsid w:val="002C13D1"/>
    <w:rsid w:val="002C495F"/>
    <w:rsid w:val="002C4A27"/>
    <w:rsid w:val="002D04B7"/>
    <w:rsid w:val="002D25F2"/>
    <w:rsid w:val="002D35B7"/>
    <w:rsid w:val="002E20B0"/>
    <w:rsid w:val="002F0113"/>
    <w:rsid w:val="002F18DD"/>
    <w:rsid w:val="00301BFE"/>
    <w:rsid w:val="00314A4A"/>
    <w:rsid w:val="00314E64"/>
    <w:rsid w:val="003467BA"/>
    <w:rsid w:val="00351083"/>
    <w:rsid w:val="0036441B"/>
    <w:rsid w:val="003721D1"/>
    <w:rsid w:val="003837AD"/>
    <w:rsid w:val="00383ECF"/>
    <w:rsid w:val="00392677"/>
    <w:rsid w:val="003A27C6"/>
    <w:rsid w:val="003B70AC"/>
    <w:rsid w:val="003C06CB"/>
    <w:rsid w:val="003C52AF"/>
    <w:rsid w:val="003D6376"/>
    <w:rsid w:val="003D7AC4"/>
    <w:rsid w:val="003F5A47"/>
    <w:rsid w:val="003F6FFF"/>
    <w:rsid w:val="00410BE1"/>
    <w:rsid w:val="00411454"/>
    <w:rsid w:val="00420A31"/>
    <w:rsid w:val="00420F3E"/>
    <w:rsid w:val="00422F2C"/>
    <w:rsid w:val="00426F8A"/>
    <w:rsid w:val="004411C9"/>
    <w:rsid w:val="00452A14"/>
    <w:rsid w:val="00457E23"/>
    <w:rsid w:val="00476BD6"/>
    <w:rsid w:val="00491BD1"/>
    <w:rsid w:val="00494425"/>
    <w:rsid w:val="004A0B7D"/>
    <w:rsid w:val="004A1313"/>
    <w:rsid w:val="004A4808"/>
    <w:rsid w:val="004B22AB"/>
    <w:rsid w:val="004C4990"/>
    <w:rsid w:val="004C63CD"/>
    <w:rsid w:val="004D2B46"/>
    <w:rsid w:val="004D3055"/>
    <w:rsid w:val="004D5994"/>
    <w:rsid w:val="004E0B2F"/>
    <w:rsid w:val="004E5AC7"/>
    <w:rsid w:val="004E6ED8"/>
    <w:rsid w:val="00503D86"/>
    <w:rsid w:val="00517ADD"/>
    <w:rsid w:val="00524D9A"/>
    <w:rsid w:val="0053077F"/>
    <w:rsid w:val="00540C4D"/>
    <w:rsid w:val="00550520"/>
    <w:rsid w:val="00555C70"/>
    <w:rsid w:val="00556E42"/>
    <w:rsid w:val="005620A9"/>
    <w:rsid w:val="00582D74"/>
    <w:rsid w:val="005A04CA"/>
    <w:rsid w:val="005C325E"/>
    <w:rsid w:val="005D673C"/>
    <w:rsid w:val="005E4D0C"/>
    <w:rsid w:val="005E55F2"/>
    <w:rsid w:val="005F6C58"/>
    <w:rsid w:val="00602577"/>
    <w:rsid w:val="0060541C"/>
    <w:rsid w:val="006143CD"/>
    <w:rsid w:val="0063150F"/>
    <w:rsid w:val="006316E0"/>
    <w:rsid w:val="0064539B"/>
    <w:rsid w:val="006628FE"/>
    <w:rsid w:val="00676BFD"/>
    <w:rsid w:val="00683639"/>
    <w:rsid w:val="006A5026"/>
    <w:rsid w:val="006B71C7"/>
    <w:rsid w:val="006C5C48"/>
    <w:rsid w:val="006C62F2"/>
    <w:rsid w:val="006D2F9F"/>
    <w:rsid w:val="006E6421"/>
    <w:rsid w:val="006F39C4"/>
    <w:rsid w:val="00704C6E"/>
    <w:rsid w:val="00705AE0"/>
    <w:rsid w:val="007160BA"/>
    <w:rsid w:val="00717DCD"/>
    <w:rsid w:val="00721ABA"/>
    <w:rsid w:val="00731357"/>
    <w:rsid w:val="00743D4C"/>
    <w:rsid w:val="007457B1"/>
    <w:rsid w:val="007471F6"/>
    <w:rsid w:val="0075479A"/>
    <w:rsid w:val="00775002"/>
    <w:rsid w:val="00786D86"/>
    <w:rsid w:val="007A5D46"/>
    <w:rsid w:val="007D3F7A"/>
    <w:rsid w:val="007E5217"/>
    <w:rsid w:val="007F24F5"/>
    <w:rsid w:val="00860378"/>
    <w:rsid w:val="00862A93"/>
    <w:rsid w:val="008A2A13"/>
    <w:rsid w:val="008A555B"/>
    <w:rsid w:val="008A6E49"/>
    <w:rsid w:val="008B02D7"/>
    <w:rsid w:val="008C7AF3"/>
    <w:rsid w:val="008D24AB"/>
    <w:rsid w:val="008D58C8"/>
    <w:rsid w:val="008E63E0"/>
    <w:rsid w:val="0090253D"/>
    <w:rsid w:val="00914A6F"/>
    <w:rsid w:val="0091757E"/>
    <w:rsid w:val="00926CA1"/>
    <w:rsid w:val="00931A94"/>
    <w:rsid w:val="0093734A"/>
    <w:rsid w:val="00952144"/>
    <w:rsid w:val="00953C68"/>
    <w:rsid w:val="009557E8"/>
    <w:rsid w:val="00960F6E"/>
    <w:rsid w:val="00976F2A"/>
    <w:rsid w:val="00990C67"/>
    <w:rsid w:val="0099297B"/>
    <w:rsid w:val="0099419C"/>
    <w:rsid w:val="00994F67"/>
    <w:rsid w:val="009A790D"/>
    <w:rsid w:val="009B221F"/>
    <w:rsid w:val="009B6786"/>
    <w:rsid w:val="009C79A8"/>
    <w:rsid w:val="009D4C9A"/>
    <w:rsid w:val="009D640D"/>
    <w:rsid w:val="009E38EE"/>
    <w:rsid w:val="00A0349B"/>
    <w:rsid w:val="00A04CF1"/>
    <w:rsid w:val="00A14EFC"/>
    <w:rsid w:val="00A15011"/>
    <w:rsid w:val="00A23C8E"/>
    <w:rsid w:val="00A309E0"/>
    <w:rsid w:val="00A31211"/>
    <w:rsid w:val="00A33762"/>
    <w:rsid w:val="00A443E2"/>
    <w:rsid w:val="00A47AE9"/>
    <w:rsid w:val="00A563AD"/>
    <w:rsid w:val="00A6326D"/>
    <w:rsid w:val="00A64945"/>
    <w:rsid w:val="00A7743C"/>
    <w:rsid w:val="00A91C06"/>
    <w:rsid w:val="00A91FE1"/>
    <w:rsid w:val="00AA7F6E"/>
    <w:rsid w:val="00AB37C2"/>
    <w:rsid w:val="00AB3C65"/>
    <w:rsid w:val="00AB5149"/>
    <w:rsid w:val="00AC1F06"/>
    <w:rsid w:val="00AC3910"/>
    <w:rsid w:val="00AD2F9B"/>
    <w:rsid w:val="00AE52B0"/>
    <w:rsid w:val="00AE67D7"/>
    <w:rsid w:val="00AE7AE8"/>
    <w:rsid w:val="00AF06D0"/>
    <w:rsid w:val="00B2287D"/>
    <w:rsid w:val="00B2556E"/>
    <w:rsid w:val="00B27630"/>
    <w:rsid w:val="00B3216D"/>
    <w:rsid w:val="00B46CD5"/>
    <w:rsid w:val="00B674C0"/>
    <w:rsid w:val="00B84535"/>
    <w:rsid w:val="00B970B6"/>
    <w:rsid w:val="00BD523A"/>
    <w:rsid w:val="00BD6F83"/>
    <w:rsid w:val="00BE1B44"/>
    <w:rsid w:val="00BE5632"/>
    <w:rsid w:val="00C05A28"/>
    <w:rsid w:val="00C1708E"/>
    <w:rsid w:val="00C211A1"/>
    <w:rsid w:val="00C253DF"/>
    <w:rsid w:val="00C40D6B"/>
    <w:rsid w:val="00C6301B"/>
    <w:rsid w:val="00C74F72"/>
    <w:rsid w:val="00C75B88"/>
    <w:rsid w:val="00C770DE"/>
    <w:rsid w:val="00C85626"/>
    <w:rsid w:val="00CB284C"/>
    <w:rsid w:val="00CB372D"/>
    <w:rsid w:val="00CC1DB0"/>
    <w:rsid w:val="00CD2E26"/>
    <w:rsid w:val="00CD3939"/>
    <w:rsid w:val="00CD44C7"/>
    <w:rsid w:val="00CE0BDD"/>
    <w:rsid w:val="00CF24A9"/>
    <w:rsid w:val="00D019B0"/>
    <w:rsid w:val="00D05239"/>
    <w:rsid w:val="00D17284"/>
    <w:rsid w:val="00D21A7B"/>
    <w:rsid w:val="00D473AA"/>
    <w:rsid w:val="00D51C97"/>
    <w:rsid w:val="00D5341C"/>
    <w:rsid w:val="00D54F2F"/>
    <w:rsid w:val="00D558C3"/>
    <w:rsid w:val="00D57A47"/>
    <w:rsid w:val="00D57F11"/>
    <w:rsid w:val="00D614AD"/>
    <w:rsid w:val="00D742B5"/>
    <w:rsid w:val="00D742D7"/>
    <w:rsid w:val="00D805B5"/>
    <w:rsid w:val="00D857C5"/>
    <w:rsid w:val="00D93174"/>
    <w:rsid w:val="00D94F4A"/>
    <w:rsid w:val="00DA2539"/>
    <w:rsid w:val="00DA3A4C"/>
    <w:rsid w:val="00DA52D6"/>
    <w:rsid w:val="00DA6485"/>
    <w:rsid w:val="00DB4F7A"/>
    <w:rsid w:val="00DC4A8E"/>
    <w:rsid w:val="00DD69B4"/>
    <w:rsid w:val="00DE1707"/>
    <w:rsid w:val="00DF117F"/>
    <w:rsid w:val="00DF573B"/>
    <w:rsid w:val="00E1321E"/>
    <w:rsid w:val="00E162F1"/>
    <w:rsid w:val="00E54C13"/>
    <w:rsid w:val="00E647CC"/>
    <w:rsid w:val="00E73E1D"/>
    <w:rsid w:val="00E87FB0"/>
    <w:rsid w:val="00E95D6C"/>
    <w:rsid w:val="00EA1A56"/>
    <w:rsid w:val="00EA1B55"/>
    <w:rsid w:val="00EA6559"/>
    <w:rsid w:val="00EB3D4E"/>
    <w:rsid w:val="00EC7C86"/>
    <w:rsid w:val="00ED597B"/>
    <w:rsid w:val="00ED7932"/>
    <w:rsid w:val="00EF3D89"/>
    <w:rsid w:val="00EF75BB"/>
    <w:rsid w:val="00F032D0"/>
    <w:rsid w:val="00F03960"/>
    <w:rsid w:val="00F141B4"/>
    <w:rsid w:val="00F176AC"/>
    <w:rsid w:val="00F222E2"/>
    <w:rsid w:val="00F2657D"/>
    <w:rsid w:val="00F30F12"/>
    <w:rsid w:val="00F46203"/>
    <w:rsid w:val="00F561D2"/>
    <w:rsid w:val="00F6741E"/>
    <w:rsid w:val="00F71121"/>
    <w:rsid w:val="00F81BA7"/>
    <w:rsid w:val="00F86FD2"/>
    <w:rsid w:val="00F871CB"/>
    <w:rsid w:val="00FA1F85"/>
    <w:rsid w:val="00FC1126"/>
    <w:rsid w:val="00FC1324"/>
    <w:rsid w:val="00FD03BC"/>
    <w:rsid w:val="00FE4104"/>
    <w:rsid w:val="00FF049F"/>
    <w:rsid w:val="00FF7A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51D8B"/>
  <w14:defaultImageDpi w14:val="32767"/>
  <w15:chartTrackingRefBased/>
  <w15:docId w15:val="{D68D3B2A-E32F-8049-B950-955C2D018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05239"/>
    <w:rPr>
      <w:rFonts w:ascii="Times New Roman" w:eastAsia="Times New Roman" w:hAnsi="Times New Roman" w:cs="Times New Roman"/>
      <w:sz w:val="16"/>
      <w:szCs w:val="1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5239"/>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D05239"/>
    <w:rPr>
      <w:sz w:val="22"/>
      <w:szCs w:val="22"/>
    </w:rPr>
  </w:style>
  <w:style w:type="character" w:styleId="Hyperlink">
    <w:name w:val="Hyperlink"/>
    <w:uiPriority w:val="99"/>
    <w:unhideWhenUsed/>
    <w:qFormat/>
    <w:rsid w:val="00D05239"/>
    <w:rPr>
      <w:color w:val="0072CC"/>
      <w:u w:val="single"/>
    </w:rPr>
  </w:style>
  <w:style w:type="paragraph" w:customStyle="1" w:styleId="1bodycopy">
    <w:name w:val="1 body copy"/>
    <w:basedOn w:val="Normal"/>
    <w:link w:val="1bodycopyChar"/>
    <w:qFormat/>
    <w:rsid w:val="00D05239"/>
    <w:pPr>
      <w:spacing w:after="120"/>
    </w:pPr>
    <w:rPr>
      <w:rFonts w:ascii="Arial" w:eastAsia="MS Mincho" w:hAnsi="Arial"/>
      <w:sz w:val="20"/>
      <w:szCs w:val="24"/>
      <w:lang w:val="en-US" w:eastAsia="en-US"/>
    </w:rPr>
  </w:style>
  <w:style w:type="paragraph" w:customStyle="1" w:styleId="2Subheadpink">
    <w:name w:val="2 Subhead pink"/>
    <w:next w:val="1bodycopy"/>
    <w:qFormat/>
    <w:rsid w:val="00D05239"/>
    <w:pPr>
      <w:spacing w:before="360" w:after="120" w:line="259" w:lineRule="auto"/>
    </w:pPr>
    <w:rPr>
      <w:rFonts w:ascii="Arial" w:eastAsia="MS Mincho" w:hAnsi="Arial" w:cs="Arial"/>
      <w:b/>
      <w:color w:val="FF1F64"/>
      <w:sz w:val="32"/>
      <w:szCs w:val="32"/>
      <w:lang w:val="en-US"/>
    </w:rPr>
  </w:style>
  <w:style w:type="paragraph" w:customStyle="1" w:styleId="3Bulletedcopyblue">
    <w:name w:val="3 Bulleted copy blue"/>
    <w:basedOn w:val="Normal"/>
    <w:qFormat/>
    <w:rsid w:val="00D05239"/>
    <w:pPr>
      <w:numPr>
        <w:numId w:val="3"/>
      </w:numPr>
      <w:spacing w:after="120"/>
    </w:pPr>
    <w:rPr>
      <w:rFonts w:ascii="Arial" w:eastAsia="MS Mincho" w:hAnsi="Arial" w:cs="Arial"/>
      <w:sz w:val="20"/>
      <w:szCs w:val="20"/>
      <w:lang w:val="en-US" w:eastAsia="en-US"/>
    </w:rPr>
  </w:style>
  <w:style w:type="character" w:customStyle="1" w:styleId="1bodycopyChar">
    <w:name w:val="1 body copy Char"/>
    <w:link w:val="1bodycopy"/>
    <w:rsid w:val="00D05239"/>
    <w:rPr>
      <w:rFonts w:ascii="Arial" w:eastAsia="MS Mincho" w:hAnsi="Arial" w:cs="Times New Roman"/>
      <w:sz w:val="20"/>
      <w:lang w:val="en-US"/>
    </w:rPr>
  </w:style>
  <w:style w:type="paragraph" w:customStyle="1" w:styleId="7Tablebodycopy">
    <w:name w:val="7 Table body copy"/>
    <w:basedOn w:val="1bodycopy"/>
    <w:qFormat/>
    <w:rsid w:val="00D05239"/>
    <w:pPr>
      <w:spacing w:after="60"/>
    </w:pPr>
  </w:style>
  <w:style w:type="paragraph" w:customStyle="1" w:styleId="7Tablecopybulleted">
    <w:name w:val="7 Table copy bulleted"/>
    <w:basedOn w:val="7Tablebodycopy"/>
    <w:qFormat/>
    <w:rsid w:val="00D05239"/>
    <w:pPr>
      <w:numPr>
        <w:numId w:val="2"/>
      </w:numPr>
      <w:tabs>
        <w:tab w:val="num" w:pos="360"/>
      </w:tabs>
      <w:ind w:left="0" w:firstLine="0"/>
    </w:pPr>
  </w:style>
  <w:style w:type="paragraph" w:customStyle="1" w:styleId="7Tablebodybulleted">
    <w:name w:val="7 Table body bulleted"/>
    <w:basedOn w:val="Normal"/>
    <w:qFormat/>
    <w:rsid w:val="00D05239"/>
    <w:pPr>
      <w:numPr>
        <w:numId w:val="4"/>
      </w:numPr>
      <w:spacing w:after="120"/>
      <w:ind w:right="284"/>
    </w:pPr>
    <w:rPr>
      <w:rFonts w:ascii="Arial" w:eastAsia="MS Mincho" w:hAnsi="Arial"/>
      <w:sz w:val="20"/>
      <w:szCs w:val="24"/>
      <w:lang w:val="en-US" w:eastAsia="en-US"/>
    </w:rPr>
  </w:style>
  <w:style w:type="paragraph" w:styleId="Footer">
    <w:name w:val="footer"/>
    <w:basedOn w:val="Normal"/>
    <w:link w:val="FooterChar"/>
    <w:uiPriority w:val="99"/>
    <w:unhideWhenUsed/>
    <w:rsid w:val="00D05239"/>
    <w:pPr>
      <w:tabs>
        <w:tab w:val="center" w:pos="4513"/>
        <w:tab w:val="right" w:pos="9026"/>
      </w:tabs>
    </w:pPr>
  </w:style>
  <w:style w:type="character" w:customStyle="1" w:styleId="FooterChar">
    <w:name w:val="Footer Char"/>
    <w:basedOn w:val="DefaultParagraphFont"/>
    <w:link w:val="Footer"/>
    <w:uiPriority w:val="99"/>
    <w:rsid w:val="00D05239"/>
    <w:rPr>
      <w:rFonts w:ascii="Times New Roman" w:eastAsia="Times New Roman" w:hAnsi="Times New Roman" w:cs="Times New Roman"/>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5</Pages>
  <Words>1000</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2020-11-19T13:39:00Z</dcterms:created>
  <dcterms:modified xsi:type="dcterms:W3CDTF">2020-11-19T14:35:00Z</dcterms:modified>
</cp:coreProperties>
</file>