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inorHAnsi" w:hAnsiTheme="minorHAnsi" w:cstheme="minorHAnsi"/>
          <w:b/>
          <w:bCs/>
          <w:color w:val="auto"/>
          <w:u w:val="single"/>
        </w:rPr>
      </w:pPr>
      <w:r>
        <w:rPr>
          <w:rFonts w:asciiTheme="minorHAnsi" w:hAnsiTheme="minorHAnsi" w:cstheme="minorHAnsi"/>
          <w:b/>
          <w:bCs/>
          <w:color w:val="auto"/>
          <w:u w:val="single"/>
        </w:rPr>
        <w:t>Schools Music Plan Template</w:t>
      </w:r>
    </w:p>
    <w:p/>
    <w:p>
      <w:r>
        <w:t>The purpose of this template is to support schools in thinking about, developing and delivering a strong music offer to pupils, taking into account the Dfe guidance on delivery as well as the new National Plan for Music Education.</w:t>
      </w:r>
    </w:p>
    <w:p>
      <w:r>
        <w:t>It is recommended that schools should incorporate this into a format that works best for the normal monitoring and planning processes run by the school. However, the main headings contained below should all be considered in this process.</w:t>
      </w:r>
    </w:p>
    <w:p/>
    <w:p>
      <w:r>
        <w:t xml:space="preserve">For further support, please contact </w:t>
      </w:r>
      <w:r>
        <w:fldChar w:fldCharType="begin"/>
      </w:r>
      <w:r>
        <w:instrText xml:space="preserve"> HYPERLINK "mailto:Ian.Bangay@northyorks.gov.uk" </w:instrText>
      </w:r>
      <w:r>
        <w:fldChar w:fldCharType="separate"/>
      </w:r>
      <w:r>
        <w:rPr>
          <w:rStyle w:val="10"/>
        </w:rPr>
        <w:t>Ian.Bangay@northyorks.gov.uk</w:t>
      </w:r>
      <w:r>
        <w:rPr>
          <w:rStyle w:val="10"/>
        </w:rPr>
        <w:fldChar w:fldCharType="end"/>
      </w:r>
    </w:p>
    <w:p/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618"/>
        <w:gridCol w:w="2925"/>
        <w:gridCol w:w="1533"/>
        <w:gridCol w:w="2375"/>
        <w:gridCol w:w="2014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93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jc w:val="left"/>
              <w:rPr>
                <w:b w:val="0"/>
                <w:bCs w:val="0"/>
              </w:rPr>
            </w:pPr>
            <w:bookmarkStart w:id="0" w:name="_Hlk160188521"/>
            <w:r>
              <w:rPr>
                <w:b/>
                <w:bCs/>
              </w:rPr>
              <w:t>Area Covered</w:t>
            </w:r>
          </w:p>
        </w:tc>
        <w:tc>
          <w:tcPr>
            <w:tcW w:w="3618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Current Provision Questions</w:t>
            </w:r>
          </w:p>
        </w:tc>
        <w:tc>
          <w:tcPr>
            <w:tcW w:w="2925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1533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Who is responsible (Name of  lead)</w:t>
            </w:r>
          </w:p>
        </w:tc>
        <w:tc>
          <w:tcPr>
            <w:tcW w:w="2375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 xml:space="preserve"> Areas to develop (Identify areas to improve on)</w:t>
            </w:r>
          </w:p>
        </w:tc>
        <w:tc>
          <w:tcPr>
            <w:tcW w:w="2014" w:type="dxa"/>
            <w:tcBorders>
              <w:top w:val="nil"/>
              <w:bottom w:val="single" w:color="666666" w:themeColor="text1" w:themeTint="99" w:sz="12" w:space="0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 xml:space="preserve"> Resources required (What is required to make the improvements?)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93" w:type="dxa"/>
            <w:vMerge w:val="restart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Curriculum</w:t>
            </w:r>
          </w:p>
        </w:tc>
        <w:tc>
          <w:tcPr>
            <w:tcW w:w="3618" w:type="dxa"/>
            <w:tcBorders>
              <w:top w:val="single" w:color="666666" w:themeColor="text1" w:themeTint="99" w:sz="12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"/>
              </w:numPr>
              <w:jc w:val="left"/>
            </w:pPr>
            <w:r>
              <w:t>How is music delivered across the school?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Music is delivered using Kapow music lessons (KS1 and LKS) NY Music Service provide Violin lessons for UKS2</w:t>
            </w:r>
          </w:p>
        </w:tc>
        <w:tc>
          <w:tcPr>
            <w:tcW w:w="1533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Andrew Howarth</w:t>
            </w:r>
          </w:p>
        </w:tc>
        <w:tc>
          <w:tcPr>
            <w:tcW w:w="237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014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"/>
              </w:numPr>
              <w:jc w:val="left"/>
            </w:pPr>
            <w:r>
              <w:t>What Scheme of Work is used?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Kapow and NYMS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"/>
              </w:numPr>
              <w:jc w:val="left"/>
            </w:pPr>
            <w:r>
              <w:t>Are we fulfilling the requirements for 1 hour per week at every Key Stage?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Music lessons are conducted weekly at Darley 45mins plus a 15 min whole school singing assembly. </w:t>
            </w: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Summerbridge LKS2 and KS1 classes are not yet completing 1 hour per week. 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Ensure that lessons are delivered weekly across the federation. 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"/>
              </w:numPr>
              <w:jc w:val="left"/>
            </w:pPr>
            <w:r>
              <w:t>Is singing embedded in the curriculum, across all Key Stages?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Singing is incorporated into a weekly singing assembly and into our music lessons.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Ensure that singing assemblies match the PSHE/topic spiral curriculum. 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"/>
              </w:numPr>
              <w:jc w:val="left"/>
            </w:pPr>
            <w:r>
              <w:t>How is progress/attainment tracked and recorded?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End of unit videos are recorded and stored on Teams - this is not yet fully embedded across the federation. 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Ensure that all teachers are using this form of end of unit assessment. 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"/>
              </w:numPr>
              <w:jc w:val="left"/>
            </w:pPr>
            <w:r>
              <w:t>How is progress/attainment reported on to both parents and pupils?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Progress is reported in end of year reports. 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"/>
              </w:numPr>
              <w:jc w:val="left"/>
            </w:pPr>
            <w:r>
              <w:t>How are attainment targets set?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Targets are set in-line with their year group expectations - however, due to mixed classes there is a degree of flexibility applied to allow for this. </w:t>
            </w:r>
          </w:p>
        </w:tc>
        <w:tc>
          <w:tcPr>
            <w:tcW w:w="1533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93" w:type="dxa"/>
            <w:vMerge w:val="restart"/>
            <w:tcBorders>
              <w:right w:val="single" w:color="auto" w:sz="4" w:space="0"/>
            </w:tcBorders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Whole Class Ensemble Tuition</w:t>
            </w:r>
          </w:p>
        </w:tc>
        <w:tc>
          <w:tcPr>
            <w:tcW w:w="361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3"/>
              </w:numPr>
              <w:jc w:val="left"/>
            </w:pPr>
            <w:r>
              <w:t>If accessed, where does it fit within the curriculum i.e. which year group accesses it?</w:t>
            </w:r>
          </w:p>
        </w:tc>
        <w:tc>
          <w:tcPr>
            <w:tcW w:w="2925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UKS2 </w:t>
            </w:r>
          </w:p>
        </w:tc>
        <w:tc>
          <w:tcPr>
            <w:tcW w:w="1533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vMerge w:val="restart"/>
          </w:tcPr>
          <w:p>
            <w:pPr>
              <w:jc w:val="left"/>
            </w:pPr>
            <w:r>
              <w:t>(</w:t>
            </w:r>
            <w:r>
              <w:rPr>
                <w:color w:val="FF0000"/>
              </w:rPr>
              <w:t>Pointers</w:t>
            </w:r>
            <w:r>
              <w:t xml:space="preserve"> - Identify the resources needed?</w:t>
            </w:r>
          </w:p>
          <w:p>
            <w:pPr>
              <w:jc w:val="left"/>
            </w:pPr>
            <w:r>
              <w:t>If budgetary, what can be done to support delivery? e.g. parents associations, grant funding etc.)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3"/>
              </w:numPr>
              <w:jc w:val="left"/>
            </w:pPr>
            <w:r>
              <w:t>Are instruments available for private practice at home?</w:t>
            </w:r>
          </w:p>
          <w:p>
            <w:pPr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Yes, but many pupils choose to leave their instrument in school. 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Remind parents that this instruments are available for home practice. As for homework from the ensemble teacher. </w:t>
            </w:r>
          </w:p>
        </w:tc>
        <w:tc>
          <w:tcPr>
            <w:tcW w:w="2014" w:type="dxa"/>
            <w:vMerge w:val="continue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3"/>
              </w:numPr>
              <w:jc w:val="left"/>
            </w:pPr>
            <w:r>
              <w:t>Is the learning supported and extended during the programme, e.g. related lunchtime clubs?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No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No additional staffing is available for this. </w:t>
            </w: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3"/>
              </w:numPr>
              <w:jc w:val="left"/>
            </w:pPr>
            <w:r>
              <w:t>How many children continue to learn after the first year of whole class activity?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2925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All pupils complete three years of violin/Ukulele tuition. </w:t>
            </w: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This is paid for out of the school budget. </w:t>
            </w:r>
          </w:p>
        </w:tc>
        <w:tc>
          <w:tcPr>
            <w:tcW w:w="1533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- Encourage children to practice outside of school more frequently. 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  <w:r>
              <w:t>How is it paid for? (any risks/challenges for continued access?)</w:t>
            </w:r>
          </w:p>
          <w:p>
            <w:pPr>
              <w:pStyle w:val="21"/>
              <w:jc w:val="left"/>
            </w:pPr>
          </w:p>
        </w:tc>
        <w:tc>
          <w:tcPr>
            <w:tcW w:w="2925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533" w:type="dxa"/>
            <w:vMerge w:val="continue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vMerge w:val="continue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vMerge w:val="continue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  <w:r>
              <w:t>How does the school promote continuation after the first year? e.g. use of pupil premium, access to small group/large group or individual lessons.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All pupils complete three years of violin tuition. </w:t>
            </w:r>
          </w:p>
          <w:p>
            <w:pPr>
              <w:jc w:val="left"/>
            </w:pP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493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  <w:r>
              <w:t>How is progression tracked?</w:t>
            </w:r>
          </w:p>
          <w:p>
            <w:pPr>
              <w:pStyle w:val="21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Violin/Ukulele teacher tracks progress weekly and adjusts lessons accordingly. 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Progress shared with all teachers. 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Record progress and store on school drive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Develop a consistent approach to music assessment across the federation.</w:t>
            </w:r>
          </w:p>
        </w:tc>
        <w:tc>
          <w:tcPr>
            <w:tcW w:w="2014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</w:tr>
    </w:tbl>
    <w:tbl>
      <w:tblPr>
        <w:tblStyle w:val="5"/>
        <w:tblW w:w="0" w:type="auto"/>
        <w:tblInd w:w="1192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1560" w:type="dxa"/>
          </w:tcPr>
          <w:p>
            <w:pPr>
              <w:jc w:val="left"/>
            </w:pPr>
          </w:p>
        </w:tc>
      </w:tr>
    </w:tbl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618"/>
        <w:gridCol w:w="2925"/>
        <w:gridCol w:w="1533"/>
        <w:gridCol w:w="2375"/>
        <w:gridCol w:w="2014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493" w:type="dxa"/>
            <w:vMerge w:val="restart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Resources</w:t>
            </w:r>
          </w:p>
        </w:tc>
        <w:tc>
          <w:tcPr>
            <w:tcW w:w="3618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75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014" w:type="dxa"/>
            <w:tcBorders>
              <w:top w:val="nil"/>
              <w:bottom w:val="single" w:color="auto" w:sz="4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93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4"/>
              </w:numPr>
              <w:jc w:val="left"/>
            </w:pPr>
            <w:r>
              <w:t>What instruments are available for classroom use?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Violin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Ukulele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Tuned percussion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Untuned percussion</w:t>
            </w: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 We have recently purchased these and there is a wide selection of both (at least one per pupil)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color w:val="FF0000"/>
              </w:rPr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color w:val="FF0000"/>
              </w:rPr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color w:val="FF0000"/>
              </w:rPr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93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4"/>
              </w:numPr>
              <w:jc w:val="left"/>
            </w:pPr>
            <w:r>
              <w:t>Are there a range of tuned and untuned?</w:t>
            </w:r>
          </w:p>
          <w:p>
            <w:pPr>
              <w:pStyle w:val="21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Yes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Music Lead</w:t>
            </w:r>
          </w:p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</w:tblPrEx>
        <w:trPr>
          <w:trHeight w:val="340" w:hRule="atLeast"/>
        </w:trPr>
        <w:tc>
          <w:tcPr>
            <w:tcW w:w="1493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4"/>
              </w:numPr>
              <w:jc w:val="left"/>
            </w:pPr>
            <w:r>
              <w:t>How are instruments maintained?</w:t>
            </w:r>
          </w:p>
          <w:p>
            <w:pPr>
              <w:ind w:left="36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Stored in boxes or music trolley and monitored by the music lead. 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Stored in a trolley/box and tidied by the music lead. </w:t>
            </w: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</w:tblPrEx>
        <w:trPr>
          <w:trHeight w:val="521" w:hRule="atLeast"/>
        </w:trPr>
        <w:tc>
          <w:tcPr>
            <w:tcW w:w="1493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4"/>
              </w:numPr>
              <w:jc w:val="left"/>
            </w:pPr>
            <w:r>
              <w:t>Do you hire instruments from your Music Hub?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No - but they are provided for our violin and Ukulele lessons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93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4"/>
              </w:numPr>
              <w:jc w:val="left"/>
            </w:pPr>
            <w:r>
              <w:t>What budget do you have to develop your stock?</w:t>
            </w:r>
          </w:p>
          <w:p>
            <w:pPr>
              <w:pStyle w:val="21"/>
              <w:numPr>
                <w:ilvl w:val="0"/>
                <w:numId w:val="4"/>
              </w:numPr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  <w:r>
              <w:rPr>
                <w:rFonts w:hint="default"/>
                <w:lang w:val="en-GB"/>
              </w:rPr>
              <w:t>- We have recently purchased these and there is a wide selection of both (at least one per pupil)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93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numPr>
                <w:ilvl w:val="0"/>
                <w:numId w:val="4"/>
              </w:numPr>
              <w:jc w:val="left"/>
            </w:pPr>
            <w:r>
              <w:t>How do you prioritise what you buy?</w:t>
            </w:r>
          </w:p>
          <w:p>
            <w:pPr>
              <w:pStyle w:val="21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- We ensure that we have instruments available that match the Kapow curriculum. 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93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4"/>
              </w:numPr>
              <w:jc w:val="left"/>
            </w:pPr>
            <w:r>
              <w:t>Are adapted instruments available for children with disabilities?</w:t>
            </w:r>
          </w:p>
          <w:p>
            <w:pPr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No - but our untuned percussion is suitable for this. </w:t>
            </w:r>
          </w:p>
        </w:tc>
        <w:tc>
          <w:tcPr>
            <w:tcW w:w="1533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93" w:type="dxa"/>
            <w:vMerge w:val="restart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Technology</w:t>
            </w:r>
          </w:p>
        </w:tc>
        <w:tc>
          <w:tcPr>
            <w:tcW w:w="3618" w:type="dxa"/>
            <w:tcBorders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5"/>
              </w:numPr>
              <w:jc w:val="left"/>
            </w:pPr>
            <w:r>
              <w:t>Do you have access to Music Technology in the classroom?</w:t>
            </w:r>
          </w:p>
        </w:tc>
        <w:tc>
          <w:tcPr>
            <w:tcW w:w="2925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No</w:t>
            </w:r>
          </w:p>
        </w:tc>
        <w:tc>
          <w:tcPr>
            <w:tcW w:w="1533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Seek out music technology that is free to use. </w:t>
            </w:r>
          </w:p>
        </w:tc>
        <w:tc>
          <w:tcPr>
            <w:tcW w:w="2014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3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  <w:p>
            <w:pPr>
              <w:pStyle w:val="21"/>
              <w:numPr>
                <w:ilvl w:val="0"/>
                <w:numId w:val="5"/>
              </w:numPr>
              <w:jc w:val="left"/>
            </w:pPr>
            <w:r>
              <w:t>If so, how is it used?</w:t>
            </w:r>
          </w:p>
          <w:p>
            <w:pPr>
              <w:ind w:left="360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3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</w:tcBorders>
          </w:tcPr>
          <w:p>
            <w:pPr>
              <w:pStyle w:val="21"/>
              <w:numPr>
                <w:ilvl w:val="0"/>
                <w:numId w:val="5"/>
              </w:numPr>
              <w:jc w:val="left"/>
            </w:pPr>
            <w:r>
              <w:t>What is the impact of using technology?</w:t>
            </w:r>
          </w:p>
          <w:p>
            <w:pPr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533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93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Opportunities to experience live music performance</w:t>
            </w:r>
          </w:p>
        </w:tc>
        <w:tc>
          <w:tcPr>
            <w:tcW w:w="3618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6"/>
              </w:numPr>
              <w:jc w:val="left"/>
            </w:pPr>
            <w:r>
              <w:t>How often children hear live music? (e.g. by other children, teachers, amateur adults, professionals)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Not as often as we would like. Local Vicar plays guitar for the children. 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Music service teacher plays the violin. 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Some teachers play guitar. </w:t>
            </w:r>
          </w:p>
        </w:tc>
        <w:tc>
          <w:tcPr>
            <w:tcW w:w="1533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Contact parents to ask if they play an instrument and would like to share their skill with the children. </w:t>
            </w:r>
          </w:p>
        </w:tc>
        <w:tc>
          <w:tcPr>
            <w:tcW w:w="2014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93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6"/>
              </w:numPr>
              <w:jc w:val="left"/>
            </w:pPr>
            <w:r>
              <w:t>Who provides this?</w:t>
            </w:r>
          </w:p>
          <w:p>
            <w:pPr>
              <w:pStyle w:val="21"/>
              <w:jc w:val="left"/>
            </w:pP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As above</w:t>
            </w:r>
          </w:p>
        </w:tc>
        <w:tc>
          <w:tcPr>
            <w:tcW w:w="153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</w:tblPrEx>
        <w:trPr>
          <w:trHeight w:val="390" w:hRule="atLeast"/>
        </w:trPr>
        <w:tc>
          <w:tcPr>
            <w:tcW w:w="1493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618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6"/>
              </w:numPr>
              <w:jc w:val="left"/>
            </w:pPr>
            <w:r>
              <w:t>How is it funded?</w:t>
            </w: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533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37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014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bookmarkEnd w:id="0"/>
    </w:tbl>
    <w:p>
      <w:pPr>
        <w:pStyle w:val="3"/>
        <w:jc w:val="center"/>
      </w:pPr>
    </w:p>
    <w:p>
      <w:pPr>
        <w:pStyle w:val="3"/>
        <w:rPr>
          <w:rFonts w:asciiTheme="minorHAnsi" w:hAnsiTheme="minorHAnsi" w:cstheme="minorHAnsi"/>
          <w:b/>
          <w:bCs/>
          <w:color w:val="auto"/>
        </w:rPr>
      </w:pPr>
      <w:r>
        <w:tab/>
      </w:r>
      <w:r>
        <w:rPr>
          <w:rFonts w:asciiTheme="minorHAnsi" w:hAnsiTheme="minorHAnsi" w:cstheme="minorHAnsi"/>
          <w:b/>
          <w:bCs/>
          <w:color w:val="auto"/>
        </w:rPr>
        <w:t>Progression</w:t>
      </w:r>
    </w:p>
    <w:p>
      <w:pPr>
        <w:rPr>
          <w:i/>
          <w:iCs/>
        </w:rPr>
      </w:pPr>
    </w:p>
    <w:tbl>
      <w:tblPr>
        <w:tblStyle w:val="27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3374"/>
        <w:gridCol w:w="2393"/>
        <w:gridCol w:w="1953"/>
        <w:gridCol w:w="2440"/>
        <w:gridCol w:w="1879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19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Area covered</w:t>
            </w:r>
          </w:p>
        </w:tc>
        <w:tc>
          <w:tcPr>
            <w:tcW w:w="3374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Current Provision Questions</w:t>
            </w:r>
          </w:p>
        </w:tc>
        <w:tc>
          <w:tcPr>
            <w:tcW w:w="2393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953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Who is responsible</w:t>
            </w:r>
          </w:p>
        </w:tc>
        <w:tc>
          <w:tcPr>
            <w:tcW w:w="2440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Areas for Development</w:t>
            </w:r>
          </w:p>
        </w:tc>
        <w:tc>
          <w:tcPr>
            <w:tcW w:w="1879" w:type="dxa"/>
            <w:tcBorders>
              <w:top w:val="nil"/>
              <w:bottom w:val="single" w:color="666666" w:themeColor="text1" w:themeTint="99" w:sz="12" w:space="0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19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Developing Pupils</w:t>
            </w:r>
          </w:p>
        </w:tc>
        <w:tc>
          <w:tcPr>
            <w:tcW w:w="3374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7"/>
              </w:numPr>
              <w:jc w:val="left"/>
            </w:pPr>
            <w:r>
              <w:t>How pupils are encouraged to learn music beyond the classroom</w:t>
            </w:r>
          </w:p>
          <w:p>
            <w:pPr>
              <w:ind w:left="360"/>
              <w:jc w:val="left"/>
            </w:pPr>
          </w:p>
        </w:tc>
        <w:tc>
          <w:tcPr>
            <w:tcW w:w="2393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Pupils are aware of the additional lessons that are available through the NY service. Some pupils have piano and brass lessons. </w:t>
            </w:r>
          </w:p>
        </w:tc>
        <w:tc>
          <w:tcPr>
            <w:tcW w:w="1953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4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Encourage more home learning/practice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7"/>
              </w:numPr>
              <w:jc w:val="left"/>
            </w:pPr>
            <w:r>
              <w:t>How the school understands and responds to their musical interests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Pupils with a musical interest are invited to share their hobbies in assembly time. </w:t>
            </w:r>
          </w:p>
        </w:tc>
        <w:tc>
          <w:tcPr>
            <w:tcW w:w="195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4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7"/>
              </w:numPr>
              <w:jc w:val="left"/>
            </w:pPr>
            <w:r>
              <w:t>How does the school respond to the needs and ambitions of pupils identified as more able in Music?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5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4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9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7"/>
              </w:numPr>
              <w:jc w:val="left"/>
            </w:pPr>
            <w:r>
              <w:t>How does the school support the needs of pupils who benefit from music? e.g. socially and emotionally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53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9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7"/>
              </w:numPr>
              <w:jc w:val="left"/>
            </w:pPr>
            <w:r>
              <w:t>How are gaps in teachers’ and other staff’s knowledge identified to better help them support pupils’ musical ambitions?</w:t>
            </w:r>
          </w:p>
        </w:tc>
        <w:tc>
          <w:tcPr>
            <w:tcW w:w="2393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Teacher’s use the Kapow scheme as this support their understanding of music theory and ensures more impactful lessons. </w:t>
            </w:r>
          </w:p>
        </w:tc>
        <w:tc>
          <w:tcPr>
            <w:tcW w:w="1953" w:type="dxa"/>
            <w:vMerge w:val="continue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40" w:type="dxa"/>
            <w:vMerge w:val="continue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9" w:type="dxa"/>
            <w:vMerge w:val="continue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919" w:type="dxa"/>
            <w:vMerge w:val="restart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Progression opportunities</w:t>
            </w:r>
          </w:p>
        </w:tc>
        <w:tc>
          <w:tcPr>
            <w:tcW w:w="3374" w:type="dxa"/>
            <w:tcBorders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8"/>
              </w:numPr>
              <w:jc w:val="left"/>
            </w:pPr>
            <w:r>
              <w:t>Are you aware of the local opportunities the school signposts to its pupils (e.g. ensembles run by the music service, community groups etc)?</w:t>
            </w:r>
          </w:p>
          <w:p>
            <w:pPr>
              <w:pStyle w:val="21"/>
              <w:jc w:val="left"/>
            </w:pPr>
          </w:p>
        </w:tc>
        <w:tc>
          <w:tcPr>
            <w:tcW w:w="239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Yes - we are sign posted to any events by the music service. </w:t>
            </w:r>
          </w:p>
        </w:tc>
        <w:tc>
          <w:tcPr>
            <w:tcW w:w="1953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40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9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9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8"/>
              </w:numPr>
              <w:jc w:val="left"/>
            </w:pPr>
            <w:r>
              <w:t xml:space="preserve">  How does the school liaise with feeder schools or (if primary) the local secondary school to support transition between Yr6/7?</w:t>
            </w:r>
          </w:p>
          <w:p>
            <w:pPr>
              <w:jc w:val="left"/>
            </w:pPr>
          </w:p>
        </w:tc>
        <w:tc>
          <w:tcPr>
            <w:tcW w:w="2393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No additional transition. </w:t>
            </w:r>
          </w:p>
        </w:tc>
        <w:tc>
          <w:tcPr>
            <w:tcW w:w="1953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4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9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9" w:type="dxa"/>
            <w:vMerge w:val="restart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Strategy development</w:t>
            </w:r>
          </w:p>
        </w:tc>
        <w:tc>
          <w:tcPr>
            <w:tcW w:w="3374" w:type="dxa"/>
            <w:tcBorders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9"/>
              </w:numPr>
              <w:jc w:val="left"/>
            </w:pPr>
            <w:r>
              <w:t>How this strategy is monitored and by whom</w:t>
            </w:r>
          </w:p>
          <w:p>
            <w:pPr>
              <w:pStyle w:val="21"/>
              <w:jc w:val="left"/>
            </w:pPr>
          </w:p>
        </w:tc>
        <w:tc>
          <w:tcPr>
            <w:tcW w:w="2393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AH Music Lead</w:t>
            </w:r>
          </w:p>
        </w:tc>
        <w:tc>
          <w:tcPr>
            <w:tcW w:w="1953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40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9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9"/>
              </w:numPr>
              <w:jc w:val="left"/>
            </w:pPr>
            <w:r>
              <w:t>How and when this strategy will be reviewed and by whom (will this include SLT and/or Governors?)</w:t>
            </w:r>
          </w:p>
        </w:tc>
        <w:tc>
          <w:tcPr>
            <w:tcW w:w="239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July 2025 review yearly progress and set new targets</w:t>
            </w:r>
          </w:p>
        </w:tc>
        <w:tc>
          <w:tcPr>
            <w:tcW w:w="1953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40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9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center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9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374" w:type="dxa"/>
            <w:tcBorders>
              <w:top w:val="single" w:color="auto" w:sz="4" w:space="0"/>
            </w:tcBorders>
          </w:tcPr>
          <w:p>
            <w:pPr>
              <w:pStyle w:val="21"/>
              <w:numPr>
                <w:ilvl w:val="0"/>
                <w:numId w:val="9"/>
              </w:numPr>
              <w:jc w:val="left"/>
            </w:pPr>
            <w:r>
              <w:t>How you will look in future to align the school’s strategy to the Hub’s and/or MAT’s Progression Strategy</w:t>
            </w:r>
          </w:p>
        </w:tc>
        <w:tc>
          <w:tcPr>
            <w:tcW w:w="2393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</w:p>
        </w:tc>
        <w:tc>
          <w:tcPr>
            <w:tcW w:w="1953" w:type="dxa"/>
            <w:vMerge w:val="continue"/>
          </w:tcPr>
          <w:p>
            <w:pPr>
              <w:jc w:val="left"/>
            </w:pPr>
          </w:p>
        </w:tc>
        <w:tc>
          <w:tcPr>
            <w:tcW w:w="2440" w:type="dxa"/>
            <w:vMerge w:val="continue"/>
          </w:tcPr>
          <w:p>
            <w:pPr>
              <w:jc w:val="left"/>
            </w:pPr>
          </w:p>
        </w:tc>
        <w:tc>
          <w:tcPr>
            <w:tcW w:w="1879" w:type="dxa"/>
            <w:vMerge w:val="continue"/>
          </w:tcPr>
          <w:p>
            <w:pPr>
              <w:jc w:val="center"/>
            </w:pPr>
          </w:p>
        </w:tc>
      </w:tr>
    </w:tbl>
    <w:p>
      <w:pPr>
        <w:pStyle w:val="2"/>
      </w:pPr>
    </w:p>
    <w:p>
      <w:pPr>
        <w:rPr>
          <w:rFonts w:asciiTheme="majorHAnsi" w:hAnsiTheme="majorHAnsi" w:eastAsiaTheme="majorEastAsia" w:cstheme="majorBidi"/>
          <w:color w:val="2F5597" w:themeColor="accent1" w:themeShade="BF"/>
          <w:sz w:val="32"/>
          <w:szCs w:val="32"/>
        </w:rPr>
      </w:pPr>
      <w:r>
        <w:br w:type="page"/>
      </w:r>
    </w:p>
    <w:p>
      <w:pPr>
        <w:pStyle w:val="3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>Extra-curricular and Co-curricular Music</w:t>
      </w:r>
    </w:p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442"/>
        <w:gridCol w:w="2285"/>
        <w:gridCol w:w="2068"/>
        <w:gridCol w:w="2257"/>
        <w:gridCol w:w="2487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419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Area Covered</w:t>
            </w:r>
          </w:p>
        </w:tc>
        <w:tc>
          <w:tcPr>
            <w:tcW w:w="3442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Current Provision Questions</w:t>
            </w:r>
          </w:p>
        </w:tc>
        <w:tc>
          <w:tcPr>
            <w:tcW w:w="2285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2068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Who’s responsible</w:t>
            </w:r>
          </w:p>
        </w:tc>
        <w:tc>
          <w:tcPr>
            <w:tcW w:w="2257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 xml:space="preserve">   Areas To Develop</w:t>
            </w:r>
          </w:p>
        </w:tc>
        <w:tc>
          <w:tcPr>
            <w:tcW w:w="2487" w:type="dxa"/>
            <w:tcBorders>
              <w:top w:val="nil"/>
              <w:bottom w:val="single" w:color="auto" w:sz="4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Resources Required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9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Singing</w:t>
            </w:r>
          </w:p>
        </w:tc>
        <w:tc>
          <w:tcPr>
            <w:tcW w:w="3442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0"/>
              </w:numPr>
              <w:jc w:val="left"/>
            </w:pPr>
            <w:r>
              <w:t>What singing happens in the school day?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Singing happens once per week in assembly. </w:t>
            </w: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This happens more frequently in KS2 when practising for our school concerts - rural schools, school performances and Young Voices</w:t>
            </w:r>
          </w:p>
        </w:tc>
        <w:tc>
          <w:tcPr>
            <w:tcW w:w="2068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Link singing lessons to RE or other curriculum areas to expose children to music from around the world and from other cultures. </w:t>
            </w:r>
          </w:p>
        </w:tc>
        <w:tc>
          <w:tcPr>
            <w:tcW w:w="248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numPr>
                <w:ilvl w:val="0"/>
                <w:numId w:val="10"/>
              </w:numPr>
              <w:jc w:val="left"/>
            </w:pPr>
            <w:r>
              <w:t>How are they accompanied? (Piano, backing tracks)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Backing tracks and guitar. 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0"/>
              </w:numPr>
              <w:jc w:val="left"/>
            </w:pPr>
            <w:r>
              <w:t>Are choirs offered?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Only in KS2 when working towards a Young Voices or Rural School concert. 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numPr>
                <w:ilvl w:val="0"/>
                <w:numId w:val="10"/>
              </w:numPr>
              <w:jc w:val="left"/>
            </w:pPr>
            <w:r>
              <w:t>Can all children access choirs?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Only KS2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Expand this to a KS1 choir - possible with parental support. </w:t>
            </w: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0"/>
              </w:numPr>
              <w:jc w:val="left"/>
            </w:pPr>
            <w:r>
              <w:t>Who leads them?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Music Lead - A Howarth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Senior Teacher - Aileen Cameron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</w:tcBorders>
          </w:tcPr>
          <w:p>
            <w:pPr>
              <w:pStyle w:val="21"/>
              <w:numPr>
                <w:ilvl w:val="0"/>
                <w:numId w:val="10"/>
              </w:numPr>
              <w:jc w:val="left"/>
            </w:pPr>
            <w:r>
              <w:t>Performance opportunities in-school and out?</w:t>
            </w:r>
          </w:p>
        </w:tc>
        <w:tc>
          <w:tcPr>
            <w:tcW w:w="2285" w:type="dxa"/>
            <w:tcBorders>
              <w:top w:val="single" w:color="auto" w:sz="4" w:space="0"/>
            </w:tcBorders>
          </w:tcPr>
          <w:p>
            <w:pPr>
              <w:jc w:val="left"/>
            </w:pPr>
            <w:r>
              <w:rPr>
                <w:rFonts w:hint="default"/>
                <w:lang w:val="en-GB"/>
              </w:rPr>
              <w:t xml:space="preserve">Young Voices or Rural School concert. 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19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Ensembles</w:t>
            </w:r>
          </w:p>
        </w:tc>
        <w:tc>
          <w:tcPr>
            <w:tcW w:w="3442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1"/>
              </w:numPr>
              <w:jc w:val="left"/>
            </w:pPr>
            <w:r>
              <w:t>What ensembles are available to children?</w:t>
            </w:r>
          </w:p>
        </w:tc>
        <w:tc>
          <w:tcPr>
            <w:tcW w:w="228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None outside of KS2 violin/ukuluele Lessons</w:t>
            </w:r>
          </w:p>
        </w:tc>
        <w:tc>
          <w:tcPr>
            <w:tcW w:w="2068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8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</w:tcBorders>
          </w:tcPr>
          <w:p>
            <w:pPr>
              <w:pStyle w:val="21"/>
              <w:numPr>
                <w:ilvl w:val="0"/>
                <w:numId w:val="11"/>
              </w:numPr>
              <w:jc w:val="left"/>
            </w:pPr>
            <w:r>
              <w:t>Who leads them?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Music Service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1"/>
              </w:numPr>
              <w:jc w:val="left"/>
            </w:pPr>
            <w:r>
              <w:t>Are all children able to access them?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Yes - in KS2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8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</w:tcBorders>
          </w:tcPr>
          <w:p>
            <w:pPr>
              <w:pStyle w:val="21"/>
              <w:numPr>
                <w:ilvl w:val="0"/>
                <w:numId w:val="11"/>
              </w:numPr>
              <w:jc w:val="left"/>
            </w:pPr>
            <w:r>
              <w:t>Performance opportunities in-school and out?</w:t>
            </w:r>
          </w:p>
        </w:tc>
        <w:tc>
          <w:tcPr>
            <w:tcW w:w="2285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 Assembly sharing</w:t>
            </w:r>
          </w:p>
        </w:tc>
        <w:tc>
          <w:tcPr>
            <w:tcW w:w="2068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Sharing assembly with parents once per year to show progress. </w:t>
            </w:r>
          </w:p>
        </w:tc>
        <w:tc>
          <w:tcPr>
            <w:tcW w:w="2487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9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Instrumental Tuition</w:t>
            </w:r>
          </w:p>
        </w:tc>
        <w:tc>
          <w:tcPr>
            <w:tcW w:w="3442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2"/>
              </w:numPr>
              <w:jc w:val="left"/>
            </w:pPr>
            <w:r>
              <w:t>Instruments (including voice) taught in school?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Violin and Ukulele</w:t>
            </w:r>
          </w:p>
        </w:tc>
        <w:tc>
          <w:tcPr>
            <w:tcW w:w="2068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8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2"/>
              </w:numPr>
              <w:jc w:val="left"/>
            </w:pPr>
            <w:r>
              <w:t>Who teaches them?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NYMusic Service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2"/>
              </w:numPr>
              <w:jc w:val="left"/>
            </w:pPr>
            <w:r>
              <w:t>On what contracts are teachers engaged?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2"/>
              </w:numPr>
              <w:jc w:val="left"/>
            </w:pPr>
            <w:r>
              <w:t>If private, how is safeguarding training delivered?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All teachers work for the NY Music Service, safeguarding training is their responsibility. 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2"/>
              </w:numPr>
              <w:jc w:val="left"/>
            </w:pPr>
            <w:r>
              <w:t>Do you track take up by gender, KS, FSM, LAC?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No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2"/>
              </w:numPr>
              <w:jc w:val="left"/>
            </w:pPr>
            <w:r>
              <w:t>How do you track progress?</w:t>
            </w:r>
          </w:p>
          <w:p>
            <w:pPr>
              <w:pStyle w:val="21"/>
              <w:jc w:val="left"/>
            </w:pP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Tracked weekly by music service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More consistent approach to tracking progress each term needs to be developed further. </w:t>
            </w: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41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2"/>
              </w:numPr>
              <w:jc w:val="left"/>
            </w:pPr>
            <w:r>
              <w:t>How is tuition promoted?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Parents are aware of the music service lessons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Reminder in newsletter</w:t>
            </w:r>
          </w:p>
        </w:tc>
        <w:tc>
          <w:tcPr>
            <w:tcW w:w="248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2"/>
              </w:numPr>
              <w:jc w:val="left"/>
            </w:pPr>
            <w:r>
              <w:t>What remissions are in place to support those from financially challenged backgrounds?</w:t>
            </w:r>
          </w:p>
        </w:tc>
        <w:tc>
          <w:tcPr>
            <w:tcW w:w="22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None as yet. </w:t>
            </w:r>
          </w:p>
        </w:tc>
        <w:tc>
          <w:tcPr>
            <w:tcW w:w="2068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257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87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</w:tr>
    </w:tbl>
    <w:p>
      <w:pPr>
        <w:rPr>
          <w:rFonts w:asciiTheme="majorHAnsi" w:hAnsiTheme="majorHAnsi" w:eastAsiaTheme="majorEastAsia" w:cstheme="majorBidi"/>
          <w:color w:val="2F5597" w:themeColor="accent1" w:themeShade="BF"/>
          <w:sz w:val="26"/>
          <w:szCs w:val="26"/>
        </w:rPr>
      </w:pPr>
      <w:r>
        <w:br w:type="page"/>
      </w:r>
    </w:p>
    <w:p>
      <w:pPr>
        <w:pStyle w:val="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Leadership</w:t>
      </w:r>
    </w:p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3412"/>
        <w:gridCol w:w="2325"/>
        <w:gridCol w:w="1985"/>
        <w:gridCol w:w="2590"/>
        <w:gridCol w:w="1870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76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Area Covered</w:t>
            </w:r>
          </w:p>
        </w:tc>
        <w:tc>
          <w:tcPr>
            <w:tcW w:w="3412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Current Provision Questions</w:t>
            </w:r>
          </w:p>
        </w:tc>
        <w:tc>
          <w:tcPr>
            <w:tcW w:w="2325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985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 xml:space="preserve"> Who is responsible</w:t>
            </w:r>
          </w:p>
        </w:tc>
        <w:tc>
          <w:tcPr>
            <w:tcW w:w="2590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Areas to develop</w:t>
            </w:r>
          </w:p>
        </w:tc>
        <w:tc>
          <w:tcPr>
            <w:tcW w:w="1870" w:type="dxa"/>
            <w:tcBorders>
              <w:top w:val="nil"/>
              <w:bottom w:val="single" w:color="auto" w:sz="4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Resources Required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6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Governing body</w:t>
            </w:r>
          </w:p>
        </w:tc>
        <w:tc>
          <w:tcPr>
            <w:tcW w:w="3412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3"/>
              </w:numPr>
              <w:jc w:val="left"/>
            </w:pPr>
            <w:r>
              <w:t>Is there a Lead Governor for Music?</w:t>
            </w:r>
          </w:p>
        </w:tc>
        <w:tc>
          <w:tcPr>
            <w:tcW w:w="232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Yes - music leader is also a staff governor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59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</w:p>
        </w:tc>
        <w:tc>
          <w:tcPr>
            <w:tcW w:w="187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76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3"/>
              </w:numPr>
              <w:jc w:val="left"/>
            </w:pPr>
            <w:r>
              <w:t>How do they work with the staff?</w:t>
            </w:r>
          </w:p>
          <w:p>
            <w:pPr>
              <w:pStyle w:val="21"/>
              <w:numPr>
                <w:ilvl w:val="0"/>
                <w:numId w:val="13"/>
              </w:numPr>
              <w:jc w:val="left"/>
            </w:pPr>
            <w:r>
              <w:t xml:space="preserve">How do they 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Provide music lesson plans and resources.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6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3"/>
              </w:numPr>
              <w:jc w:val="left"/>
            </w:pPr>
            <w:r>
              <w:t>support/champion music?</w:t>
            </w: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59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6" w:type="dxa"/>
            <w:vMerge w:val="restart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Senior Leadership Team</w:t>
            </w:r>
          </w:p>
        </w:tc>
        <w:tc>
          <w:tcPr>
            <w:tcW w:w="3412" w:type="dxa"/>
            <w:tcBorders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4"/>
              </w:numPr>
              <w:jc w:val="left"/>
            </w:pPr>
            <w:r>
              <w:t>How SLT project the place/role of Music in school?</w:t>
            </w:r>
          </w:p>
        </w:tc>
        <w:tc>
          <w:tcPr>
            <w:tcW w:w="2325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Supporting yearly choir concerts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590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0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76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4"/>
              </w:numPr>
              <w:jc w:val="left"/>
            </w:pPr>
            <w:r>
              <w:t>How is music championed?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Senior Leader is also the Music leader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76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  <w:p>
            <w:pPr>
              <w:pStyle w:val="21"/>
              <w:numPr>
                <w:ilvl w:val="0"/>
                <w:numId w:val="14"/>
              </w:numPr>
              <w:jc w:val="left"/>
            </w:pPr>
            <w:r>
              <w:t>How does music fit in to the overall school ethos?</w:t>
            </w: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We value music as it adds to the PD of each of our pupils.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76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4"/>
              </w:numPr>
              <w:jc w:val="left"/>
            </w:pPr>
            <w:r>
              <w:t>How does the leadership team support staff to deliver the music curriculum?</w:t>
            </w:r>
          </w:p>
          <w:p>
            <w:pPr>
              <w:pStyle w:val="21"/>
              <w:jc w:val="left"/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Support the use of outside providers and the Kapow music scheme.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6" w:type="dxa"/>
            <w:vMerge w:val="restart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Subject leadership</w:t>
            </w:r>
          </w:p>
        </w:tc>
        <w:tc>
          <w:tcPr>
            <w:tcW w:w="3412" w:type="dxa"/>
          </w:tcPr>
          <w:p>
            <w:pPr>
              <w:pStyle w:val="21"/>
              <w:numPr>
                <w:ilvl w:val="0"/>
                <w:numId w:val="15"/>
              </w:numPr>
              <w:jc w:val="left"/>
            </w:pPr>
            <w:r>
              <w:t>Who is subject lead?</w:t>
            </w:r>
          </w:p>
          <w:p>
            <w:pPr>
              <w:pStyle w:val="21"/>
              <w:jc w:val="left"/>
            </w:pPr>
          </w:p>
        </w:tc>
        <w:tc>
          <w:tcPr>
            <w:tcW w:w="2325" w:type="dxa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A Howarth</w:t>
            </w:r>
          </w:p>
        </w:tc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2590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0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6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5"/>
              </w:numPr>
              <w:jc w:val="left"/>
            </w:pPr>
            <w:r>
              <w:t>How do they support non- specialist staff (if primary)?</w:t>
            </w:r>
          </w:p>
          <w:p>
            <w:pPr>
              <w:pStyle w:val="21"/>
              <w:jc w:val="left"/>
            </w:pPr>
          </w:p>
        </w:tc>
        <w:tc>
          <w:tcPr>
            <w:tcW w:w="23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By providing a scheme of learning for teachers to follow. </w:t>
            </w: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By ensuring that there are instruments available that match the scheme. </w:t>
            </w: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By conducting pupil voice to ensure that lessons are regular, good quality and enjoyable. </w:t>
            </w: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By leading a singing assembly once per week.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59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76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5"/>
              </w:numPr>
              <w:jc w:val="left"/>
            </w:pPr>
            <w:r>
              <w:t>How do they/you communicate with the music hub?</w:t>
            </w:r>
          </w:p>
          <w:p>
            <w:pPr>
              <w:pStyle w:val="21"/>
              <w:jc w:val="left"/>
            </w:pPr>
          </w:p>
        </w:tc>
        <w:tc>
          <w:tcPr>
            <w:tcW w:w="2325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590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70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776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412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5"/>
              </w:numPr>
              <w:jc w:val="left"/>
            </w:pPr>
            <w:r>
              <w:t>How does the lead/department head fit into the overall leadership structure?</w:t>
            </w:r>
          </w:p>
          <w:p>
            <w:pPr>
              <w:pStyle w:val="21"/>
              <w:jc w:val="left"/>
            </w:pPr>
          </w:p>
        </w:tc>
        <w:tc>
          <w:tcPr>
            <w:tcW w:w="232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SLT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59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7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</w:tbl>
    <w:p/>
    <w:p/>
    <w:p>
      <w:pPr>
        <w:pStyle w:val="3"/>
      </w:pPr>
    </w:p>
    <w:p/>
    <w:p/>
    <w:p/>
    <w:p/>
    <w:p>
      <w:pPr>
        <w:pStyle w:val="3"/>
      </w:pPr>
    </w:p>
    <w:p>
      <w:pPr>
        <w:pStyle w:val="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Budget</w:t>
      </w:r>
    </w:p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4467"/>
        <w:gridCol w:w="2081"/>
        <w:gridCol w:w="3544"/>
        <w:gridCol w:w="1625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41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Area Covered</w:t>
            </w:r>
          </w:p>
        </w:tc>
        <w:tc>
          <w:tcPr>
            <w:tcW w:w="4467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Current Provision</w:t>
            </w:r>
          </w:p>
        </w:tc>
        <w:tc>
          <w:tcPr>
            <w:tcW w:w="2081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Who is responsible</w:t>
            </w:r>
          </w:p>
        </w:tc>
        <w:tc>
          <w:tcPr>
            <w:tcW w:w="3544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Area for Development</w:t>
            </w:r>
          </w:p>
        </w:tc>
        <w:tc>
          <w:tcPr>
            <w:tcW w:w="1625" w:type="dxa"/>
            <w:tcBorders>
              <w:top w:val="nil"/>
              <w:bottom w:val="single" w:color="666666" w:themeColor="text1" w:themeTint="99" w:sz="12" w:space="0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Resources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1" w:type="dxa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4467" w:type="dxa"/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081" w:type="dxa"/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3544" w:type="dxa"/>
            <w:shd w:val="clear" w:color="auto" w:fill="CCCCCC" w:themeFill="text1" w:themeFillTint="33"/>
          </w:tcPr>
          <w:p>
            <w:pPr>
              <w:jc w:val="center"/>
            </w:pPr>
          </w:p>
        </w:tc>
        <w:tc>
          <w:tcPr>
            <w:tcW w:w="1625" w:type="dxa"/>
            <w:shd w:val="clear" w:color="auto" w:fill="CCCCCC" w:themeFill="text1" w:themeFillTint="33"/>
          </w:tcPr>
          <w:p>
            <w:pPr>
              <w:jc w:val="center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241" w:type="dxa"/>
            <w:vMerge w:val="restart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Budget for Music</w:t>
            </w:r>
          </w:p>
        </w:tc>
        <w:tc>
          <w:tcPr>
            <w:tcW w:w="4467" w:type="dxa"/>
            <w:tcBorders>
              <w:bottom w:val="single" w:color="auto" w:sz="4" w:space="0"/>
            </w:tcBorders>
          </w:tcPr>
          <w:p>
            <w:pPr>
              <w:pStyle w:val="21"/>
              <w:ind w:left="0" w:leftChars="0" w:firstLine="0" w:firstLineChars="0"/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 £500 across both schools. </w:t>
            </w:r>
          </w:p>
        </w:tc>
        <w:tc>
          <w:tcPr>
            <w:tcW w:w="2081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625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41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6"/>
              </w:numPr>
              <w:jc w:val="left"/>
            </w:pPr>
            <w:r>
              <w:t>Income generation e.g. concerts, donations</w:t>
            </w:r>
          </w:p>
          <w:p>
            <w:pPr>
              <w:pStyle w:val="21"/>
              <w:numPr>
                <w:ilvl w:val="0"/>
                <w:numId w:val="16"/>
              </w:numPr>
              <w:jc w:val="left"/>
            </w:pPr>
          </w:p>
        </w:tc>
        <w:tc>
          <w:tcPr>
            <w:tcW w:w="2081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41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6"/>
              </w:numPr>
              <w:jc w:val="left"/>
            </w:pPr>
            <w:r>
              <w:t>Remissions offered to pupils?</w:t>
            </w:r>
          </w:p>
        </w:tc>
        <w:tc>
          <w:tcPr>
            <w:tcW w:w="20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62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41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6"/>
              </w:numPr>
              <w:jc w:val="left"/>
            </w:pPr>
            <w:r>
              <w:t>Who monitors budget and decides where it is spent?</w:t>
            </w:r>
          </w:p>
          <w:p>
            <w:pPr>
              <w:pStyle w:val="21"/>
              <w:jc w:val="left"/>
            </w:pPr>
          </w:p>
        </w:tc>
        <w:tc>
          <w:tcPr>
            <w:tcW w:w="2081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3544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625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241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4467" w:type="dxa"/>
            <w:tcBorders>
              <w:top w:val="single" w:color="auto" w:sz="4" w:space="0"/>
            </w:tcBorders>
          </w:tcPr>
          <w:p>
            <w:pPr>
              <w:pStyle w:val="21"/>
              <w:numPr>
                <w:ilvl w:val="0"/>
                <w:numId w:val="16"/>
              </w:numPr>
              <w:jc w:val="left"/>
            </w:pPr>
            <w:r>
              <w:t>Long term projects/spends/investment?</w:t>
            </w:r>
          </w:p>
          <w:p>
            <w:pPr>
              <w:jc w:val="left"/>
            </w:pPr>
          </w:p>
        </w:tc>
        <w:tc>
          <w:tcPr>
            <w:tcW w:w="2081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3544" w:type="dxa"/>
            <w:vMerge w:val="continue"/>
          </w:tcPr>
          <w:p>
            <w:pPr>
              <w:jc w:val="left"/>
            </w:pPr>
          </w:p>
        </w:tc>
        <w:tc>
          <w:tcPr>
            <w:tcW w:w="1625" w:type="dxa"/>
            <w:vMerge w:val="continue"/>
          </w:tcPr>
          <w:p>
            <w:pPr>
              <w:jc w:val="left"/>
            </w:pPr>
          </w:p>
        </w:tc>
      </w:tr>
    </w:tbl>
    <w:p/>
    <w:p>
      <w:pPr>
        <w:pStyle w:val="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Partnerships</w:t>
      </w:r>
    </w:p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3242"/>
        <w:gridCol w:w="2731"/>
        <w:gridCol w:w="1990"/>
        <w:gridCol w:w="2474"/>
        <w:gridCol w:w="1703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18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Area Covered</w:t>
            </w:r>
          </w:p>
        </w:tc>
        <w:tc>
          <w:tcPr>
            <w:tcW w:w="3242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Current Provision Questions</w:t>
            </w:r>
          </w:p>
        </w:tc>
        <w:tc>
          <w:tcPr>
            <w:tcW w:w="2731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990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Who is responsible</w:t>
            </w:r>
          </w:p>
        </w:tc>
        <w:tc>
          <w:tcPr>
            <w:tcW w:w="2474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Areas for Development</w:t>
            </w:r>
          </w:p>
        </w:tc>
        <w:tc>
          <w:tcPr>
            <w:tcW w:w="1703" w:type="dxa"/>
            <w:tcBorders>
              <w:top w:val="nil"/>
              <w:bottom w:val="single" w:color="666666" w:themeColor="text1" w:themeTint="99" w:sz="12" w:space="0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</w:tblPrEx>
        <w:trPr>
          <w:trHeight w:val="850" w:hRule="atLeast"/>
        </w:trPr>
        <w:tc>
          <w:tcPr>
            <w:tcW w:w="1818" w:type="dxa"/>
            <w:vMerge w:val="restart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Partnerships with schools</w:t>
            </w:r>
          </w:p>
        </w:tc>
        <w:tc>
          <w:tcPr>
            <w:tcW w:w="3242" w:type="dxa"/>
            <w:tcBorders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7"/>
              </w:numPr>
              <w:jc w:val="left"/>
            </w:pPr>
            <w:r>
              <w:t>Participation in local networks (e.g. primary music network or Academy chains)</w:t>
            </w:r>
          </w:p>
          <w:p>
            <w:pPr>
              <w:pStyle w:val="21"/>
              <w:numPr>
                <w:ilvl w:val="0"/>
                <w:numId w:val="17"/>
              </w:numPr>
              <w:jc w:val="left"/>
            </w:pPr>
          </w:p>
        </w:tc>
        <w:tc>
          <w:tcPr>
            <w:tcW w:w="2731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We do not work with any schools outside of our federation - apart from during the rural schools concerts. 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  <w:r>
              <w:t>Leads at each school</w:t>
            </w:r>
          </w:p>
        </w:tc>
        <w:tc>
          <w:tcPr>
            <w:tcW w:w="2474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18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7"/>
              </w:numPr>
              <w:jc w:val="left"/>
            </w:pPr>
            <w:r>
              <w:t>Schools you work with on any aspect of music</w:t>
            </w:r>
          </w:p>
          <w:p>
            <w:pPr>
              <w:pStyle w:val="21"/>
              <w:jc w:val="left"/>
            </w:pPr>
          </w:p>
        </w:tc>
        <w:tc>
          <w:tcPr>
            <w:tcW w:w="27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8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7"/>
              </w:numPr>
              <w:jc w:val="left"/>
            </w:pPr>
            <w:r>
              <w:t>What you do together</w:t>
            </w:r>
          </w:p>
          <w:p>
            <w:pPr>
              <w:pStyle w:val="21"/>
              <w:jc w:val="left"/>
            </w:pPr>
          </w:p>
        </w:tc>
        <w:tc>
          <w:tcPr>
            <w:tcW w:w="2731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Shared concerts across the federation - Young Voices and Rural Schools. 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8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7"/>
              </w:numPr>
              <w:jc w:val="left"/>
            </w:pPr>
            <w:r>
              <w:t>What you and your school gain</w:t>
            </w:r>
          </w:p>
          <w:p>
            <w:pPr>
              <w:pStyle w:val="21"/>
              <w:jc w:val="left"/>
            </w:pPr>
          </w:p>
        </w:tc>
        <w:tc>
          <w:tcPr>
            <w:tcW w:w="27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Performing in front of a large audience. 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18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7"/>
              </w:numPr>
              <w:jc w:val="left"/>
            </w:pPr>
            <w:r>
              <w:t>What you contribute</w:t>
            </w:r>
          </w:p>
        </w:tc>
        <w:tc>
          <w:tcPr>
            <w:tcW w:w="2731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Teaching pupils choir songs and musical accompaniment (violin)</w:t>
            </w:r>
          </w:p>
        </w:tc>
        <w:tc>
          <w:tcPr>
            <w:tcW w:w="199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18" w:type="dxa"/>
            <w:vMerge w:val="restart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Partnership or relationship with local music service or Music Education Hub</w:t>
            </w:r>
          </w:p>
        </w:tc>
        <w:tc>
          <w:tcPr>
            <w:tcW w:w="3242" w:type="dxa"/>
            <w:tcBorders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8"/>
              </w:numPr>
              <w:jc w:val="left"/>
            </w:pPr>
            <w:r>
              <w:t>Relationship you have with the music service (if engaged at your school)</w:t>
            </w:r>
          </w:p>
        </w:tc>
        <w:tc>
          <w:tcPr>
            <w:tcW w:w="2731" w:type="dxa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Weekly Lessons - Good relationship with teacher _ Jon HIlls. </w:t>
            </w:r>
          </w:p>
        </w:tc>
        <w:tc>
          <w:tcPr>
            <w:tcW w:w="1990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4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703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18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8"/>
              </w:numPr>
              <w:jc w:val="left"/>
            </w:pPr>
            <w:r>
              <w:t>Have you worked with other hub partners?</w:t>
            </w:r>
          </w:p>
          <w:p>
            <w:pPr>
              <w:pStyle w:val="21"/>
              <w:jc w:val="left"/>
            </w:pPr>
          </w:p>
        </w:tc>
        <w:tc>
          <w:tcPr>
            <w:tcW w:w="2731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818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8"/>
              </w:numPr>
              <w:jc w:val="left"/>
            </w:pPr>
            <w:r>
              <w:t>Awareness of hub website and support?</w:t>
            </w:r>
          </w:p>
          <w:p>
            <w:pPr>
              <w:pStyle w:val="21"/>
              <w:numPr>
                <w:ilvl w:val="0"/>
                <w:numId w:val="18"/>
              </w:numPr>
              <w:jc w:val="left"/>
            </w:pPr>
          </w:p>
        </w:tc>
        <w:tc>
          <w:tcPr>
            <w:tcW w:w="2731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8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8"/>
              </w:numPr>
              <w:jc w:val="left"/>
            </w:pPr>
            <w:r>
              <w:t>Concerts you have taken part in organised by the hub?</w:t>
            </w:r>
          </w:p>
          <w:p>
            <w:pPr>
              <w:pStyle w:val="21"/>
              <w:numPr>
                <w:ilvl w:val="0"/>
                <w:numId w:val="18"/>
              </w:numPr>
              <w:jc w:val="left"/>
            </w:pPr>
          </w:p>
        </w:tc>
        <w:tc>
          <w:tcPr>
            <w:tcW w:w="2731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18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</w:tcBorders>
          </w:tcPr>
          <w:p>
            <w:pPr>
              <w:pStyle w:val="21"/>
              <w:numPr>
                <w:ilvl w:val="0"/>
                <w:numId w:val="18"/>
              </w:numPr>
              <w:jc w:val="left"/>
            </w:pPr>
            <w:r>
              <w:t>Demonstrations delivered by the hub?</w:t>
            </w:r>
          </w:p>
          <w:p>
            <w:pPr>
              <w:jc w:val="left"/>
            </w:pPr>
          </w:p>
        </w:tc>
        <w:tc>
          <w:tcPr>
            <w:tcW w:w="2731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18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Cultural partners for music</w:t>
            </w:r>
          </w:p>
        </w:tc>
        <w:tc>
          <w:tcPr>
            <w:tcW w:w="3242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9"/>
              </w:numPr>
              <w:jc w:val="left"/>
            </w:pPr>
            <w:r>
              <w:t>Partners you work with (e.g. musicians, groups, music charities, national organisations)</w:t>
            </w:r>
          </w:p>
          <w:p>
            <w:pPr>
              <w:pStyle w:val="21"/>
              <w:jc w:val="left"/>
            </w:pPr>
          </w:p>
        </w:tc>
        <w:tc>
          <w:tcPr>
            <w:tcW w:w="2731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90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4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18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19"/>
              </w:numPr>
              <w:jc w:val="left"/>
            </w:pPr>
            <w:r>
              <w:t>What they do and the value they bring</w:t>
            </w:r>
          </w:p>
          <w:p>
            <w:pPr>
              <w:pStyle w:val="21"/>
              <w:jc w:val="left"/>
            </w:pPr>
          </w:p>
        </w:tc>
        <w:tc>
          <w:tcPr>
            <w:tcW w:w="273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9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18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242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19"/>
              </w:numPr>
              <w:jc w:val="left"/>
            </w:pPr>
            <w:r>
              <w:t>How activity is funded</w:t>
            </w:r>
          </w:p>
        </w:tc>
        <w:tc>
          <w:tcPr>
            <w:tcW w:w="2731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1990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4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3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</w:tbl>
    <w:p/>
    <w:p>
      <w:pPr>
        <w:rPr>
          <w:rFonts w:asciiTheme="majorHAnsi" w:hAnsiTheme="majorHAnsi" w:eastAsiaTheme="majorEastAsia" w:cstheme="majorBidi"/>
          <w:color w:val="2F5597" w:themeColor="accent1" w:themeShade="BF"/>
          <w:sz w:val="26"/>
          <w:szCs w:val="26"/>
        </w:rPr>
      </w:pPr>
    </w:p>
    <w:p>
      <w:pPr>
        <w:pStyle w:val="3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Accommodation and resources</w:t>
      </w:r>
    </w:p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3166"/>
        <w:gridCol w:w="2538"/>
        <w:gridCol w:w="156"/>
        <w:gridCol w:w="1984"/>
        <w:gridCol w:w="2476"/>
        <w:gridCol w:w="1701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37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bookmarkStart w:id="1" w:name="_Hlk137585722"/>
            <w:r>
              <w:rPr>
                <w:b/>
                <w:bCs/>
              </w:rPr>
              <w:t>Area Covered</w:t>
            </w:r>
          </w:p>
        </w:tc>
        <w:tc>
          <w:tcPr>
            <w:tcW w:w="3166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Current Provision Questions</w:t>
            </w:r>
          </w:p>
        </w:tc>
        <w:tc>
          <w:tcPr>
            <w:tcW w:w="2538" w:type="dxa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2140" w:type="dxa"/>
            <w:gridSpan w:val="2"/>
            <w:tcBorders>
              <w:top w:val="nil"/>
              <w:bottom w:val="single" w:color="auto" w:sz="4" w:space="0"/>
              <w:right w:val="nil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Who is responsible</w:t>
            </w:r>
          </w:p>
        </w:tc>
        <w:tc>
          <w:tcPr>
            <w:tcW w:w="2476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Areas for Development</w:t>
            </w:r>
          </w:p>
        </w:tc>
        <w:tc>
          <w:tcPr>
            <w:tcW w:w="1701" w:type="dxa"/>
            <w:tcBorders>
              <w:top w:val="nil"/>
              <w:bottom w:val="single" w:color="666666" w:themeColor="text1" w:themeTint="99" w:sz="12" w:space="0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</w:tr>
      <w:bookmarkEnd w:id="1"/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37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Spaces for Music</w:t>
            </w:r>
          </w:p>
        </w:tc>
        <w:tc>
          <w:tcPr>
            <w:tcW w:w="3166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0"/>
              </w:numPr>
              <w:jc w:val="left"/>
            </w:pPr>
            <w:r>
              <w:t>Where Music is taught (specialist classroom, in class)</w:t>
            </w: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In class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6" w:type="dxa"/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1" w:type="dxa"/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937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16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0"/>
              </w:numPr>
              <w:jc w:val="left"/>
            </w:pPr>
            <w:r>
              <w:t>Where choirs/ensembles take place (hall, classrooms)</w:t>
            </w:r>
          </w:p>
          <w:p>
            <w:pPr>
              <w:pStyle w:val="21"/>
              <w:jc w:val="left"/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Classrooms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Weekly singing assembly in Hall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37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166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0"/>
              </w:numPr>
              <w:jc w:val="left"/>
            </w:pPr>
            <w:r>
              <w:t>Where instrumental/vocal tuition happens (practice rooms, dedicated space, library, corridors)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Classrooms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6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37" w:type="dxa"/>
            <w:vMerge w:val="restart"/>
            <w:tcBorders>
              <w:right w:val="single" w:color="auto" w:sz="4" w:space="0"/>
            </w:tcBorders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Resources available for Music</w:t>
            </w:r>
          </w:p>
        </w:tc>
        <w:tc>
          <w:tcPr>
            <w:tcW w:w="316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1"/>
              </w:numPr>
              <w:jc w:val="left"/>
            </w:pPr>
            <w:r>
              <w:t>Tuned/untuned percussion?</w:t>
            </w:r>
          </w:p>
          <w:p>
            <w:pPr>
              <w:pStyle w:val="21"/>
              <w:numPr>
                <w:ilvl w:val="0"/>
                <w:numId w:val="21"/>
              </w:numPr>
              <w:jc w:val="left"/>
            </w:pPr>
            <w:r>
              <w:t>Keyboards?</w:t>
            </w:r>
          </w:p>
        </w:tc>
        <w:tc>
          <w:tcPr>
            <w:tcW w:w="2694" w:type="dxa"/>
            <w:gridSpan w:val="2"/>
            <w:tcBorders>
              <w:bottom w:val="single" w:color="auto" w:sz="4" w:space="0"/>
            </w:tcBorders>
          </w:tcPr>
          <w:p>
            <w:pPr>
              <w:jc w:val="left"/>
            </w:pPr>
            <w:r>
              <w:t>Tuned/untuned percussion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Violin</w:t>
            </w:r>
          </w:p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Ukulele</w:t>
            </w: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6" w:type="dxa"/>
            <w:tcBorders>
              <w:bottom w:val="single" w:color="auto" w:sz="4" w:space="0"/>
            </w:tcBorders>
          </w:tcPr>
          <w:p>
            <w:pPr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>
            <w:pPr>
              <w:jc w:val="left"/>
            </w:pPr>
            <w:r>
              <w:t xml:space="preserve"> 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7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1"/>
              </w:numPr>
              <w:jc w:val="left"/>
            </w:pPr>
            <w:r>
              <w:t>Other hireable instruments?</w:t>
            </w:r>
          </w:p>
          <w:p>
            <w:pPr>
              <w:pStyle w:val="21"/>
              <w:jc w:val="left"/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37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1"/>
              </w:numPr>
              <w:jc w:val="left"/>
            </w:pPr>
            <w:r>
              <w:t>Instruments hired from a partner?</w:t>
            </w:r>
          </w:p>
          <w:p>
            <w:pPr>
              <w:pStyle w:val="21"/>
              <w:jc w:val="left"/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937" w:type="dxa"/>
            <w:vMerge w:val="continue"/>
            <w:tcBorders>
              <w:right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1"/>
              </w:numPr>
              <w:jc w:val="left"/>
            </w:pPr>
            <w:r>
              <w:t>Resources that the school borrows at no cost, e.g. from the music service or Hub</w:t>
            </w:r>
          </w:p>
          <w:p>
            <w:pPr>
              <w:pStyle w:val="21"/>
              <w:jc w:val="left"/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Violin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476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</w:tblPrEx>
        <w:trPr>
          <w:trHeight w:val="1510" w:hRule="atLeast"/>
        </w:trPr>
        <w:tc>
          <w:tcPr>
            <w:tcW w:w="1937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1"/>
              <w:numPr>
                <w:ilvl w:val="0"/>
                <w:numId w:val="21"/>
              </w:numPr>
              <w:jc w:val="left"/>
            </w:pPr>
            <w:r>
              <w:t>Books, references, printed music, subscriptions etc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476" w:type="dxa"/>
            <w:vMerge w:val="continue"/>
          </w:tcPr>
          <w:p>
            <w:pPr>
              <w:jc w:val="left"/>
            </w:pPr>
          </w:p>
        </w:tc>
        <w:tc>
          <w:tcPr>
            <w:tcW w:w="1701" w:type="dxa"/>
            <w:vMerge w:val="continue"/>
          </w:tcPr>
          <w:p>
            <w:pPr>
              <w:jc w:val="left"/>
            </w:pPr>
          </w:p>
        </w:tc>
      </w:tr>
    </w:tbl>
    <w:p>
      <w:pPr>
        <w:rPr>
          <w:rFonts w:asciiTheme="majorHAnsi" w:hAnsiTheme="majorHAnsi" w:eastAsiaTheme="majorEastAsia" w:cstheme="majorBidi"/>
          <w:color w:val="2F5597" w:themeColor="accent1" w:themeShade="BF"/>
          <w:sz w:val="26"/>
          <w:szCs w:val="26"/>
        </w:rPr>
      </w:pPr>
    </w:p>
    <w:p>
      <w:pPr>
        <w:pStyle w:val="3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Inclusion</w:t>
      </w:r>
    </w:p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3537"/>
        <w:gridCol w:w="1995"/>
        <w:gridCol w:w="1985"/>
        <w:gridCol w:w="2775"/>
        <w:gridCol w:w="1827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39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 w:val="0"/>
                <w:bCs w:val="0"/>
              </w:rPr>
            </w:pPr>
            <w:r>
              <w:rPr>
                <w:b/>
                <w:bCs/>
              </w:rPr>
              <w:t>Area Covered</w:t>
            </w:r>
          </w:p>
        </w:tc>
        <w:tc>
          <w:tcPr>
            <w:tcW w:w="3537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Current Provision Questions</w:t>
            </w:r>
          </w:p>
        </w:tc>
        <w:tc>
          <w:tcPr>
            <w:tcW w:w="1995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  <w:tc>
          <w:tcPr>
            <w:tcW w:w="1985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Who is responsible</w:t>
            </w:r>
          </w:p>
        </w:tc>
        <w:tc>
          <w:tcPr>
            <w:tcW w:w="2775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Areas for Development</w:t>
            </w:r>
          </w:p>
        </w:tc>
        <w:tc>
          <w:tcPr>
            <w:tcW w:w="1827" w:type="dxa"/>
            <w:tcBorders>
              <w:top w:val="nil"/>
              <w:bottom w:val="single" w:color="666666" w:themeColor="text1" w:themeTint="99" w:sz="12" w:space="0"/>
              <w:insideH w:val="single" w:sz="12" w:space="0"/>
              <w:insideV w:val="nil"/>
            </w:tcBorders>
            <w:shd w:val="clear" w:color="auto" w:fill="000000" w:themeFill="text1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Resources</w:t>
            </w: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9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Overview</w:t>
            </w:r>
          </w:p>
        </w:tc>
        <w:tc>
          <w:tcPr>
            <w:tcW w:w="353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2"/>
              </w:numPr>
              <w:jc w:val="left"/>
            </w:pPr>
            <w:r>
              <w:t>How is the curriculum made accessible for pupils with SEND?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All pupils have the same access to music lessons. Lessons are made accessible through differentiation and TA support. 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77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3"/>
              </w:numPr>
              <w:jc w:val="left"/>
            </w:pP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3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2"/>
              </w:numPr>
              <w:jc w:val="left"/>
            </w:pPr>
            <w:r>
              <w:t>How the music studied takes account of sensibilities of all sections of the school community?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pStyle w:val="21"/>
              <w:jc w:val="left"/>
            </w:pPr>
          </w:p>
        </w:tc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3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2"/>
              </w:numPr>
              <w:jc w:val="left"/>
            </w:pPr>
            <w:r>
              <w:t>Whether songs are sung in languages spoken by families in the school community?</w:t>
            </w:r>
          </w:p>
          <w:p>
            <w:pPr>
              <w:pStyle w:val="21"/>
              <w:jc w:val="left"/>
            </w:pPr>
          </w:p>
        </w:tc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All songs are performed in English.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Links with curriculum to widen the breadth of lessons and include singing from other cultures different to British. </w:t>
            </w:r>
          </w:p>
        </w:tc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2"/>
              </w:numPr>
              <w:jc w:val="left"/>
            </w:pPr>
            <w:r>
              <w:t>Whether tuition is offered in non-Western instruments and genres?</w:t>
            </w:r>
          </w:p>
          <w:p>
            <w:pPr>
              <w:pStyle w:val="21"/>
              <w:jc w:val="left"/>
            </w:pPr>
          </w:p>
        </w:tc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No.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2"/>
              </w:numPr>
              <w:jc w:val="left"/>
            </w:pPr>
            <w:r>
              <w:t xml:space="preserve"> How are learners exposed to music from cultures other than their own and/or not represented in the school?</w:t>
            </w:r>
          </w:p>
        </w:tc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During R.E and PSHE lessons across the year.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83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</w:tcBorders>
          </w:tcPr>
          <w:p>
            <w:pPr>
              <w:pStyle w:val="21"/>
              <w:numPr>
                <w:ilvl w:val="0"/>
                <w:numId w:val="22"/>
              </w:numPr>
              <w:jc w:val="left"/>
            </w:pPr>
            <w:r>
              <w:t>Whether interventions for other subjects routinely take place during Music lessons i.e. children taken out of music lessons for catch up sessions</w:t>
            </w:r>
          </w:p>
        </w:tc>
        <w:tc>
          <w:tcPr>
            <w:tcW w:w="1995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27" w:type="dxa"/>
            <w:tcBorders>
              <w:top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</w:tblPrEx>
        <w:trPr>
          <w:trHeight w:val="1080" w:hRule="atLeast"/>
        </w:trPr>
        <w:tc>
          <w:tcPr>
            <w:tcW w:w="1839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Special Educational Needs and Disabilities</w:t>
            </w:r>
          </w:p>
        </w:tc>
        <w:tc>
          <w:tcPr>
            <w:tcW w:w="353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4"/>
              </w:numPr>
              <w:jc w:val="left"/>
            </w:pPr>
            <w:r>
              <w:t>How the needs of children with SEND are assessed to enable them to participate in music-making?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77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center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3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4"/>
              </w:numPr>
              <w:jc w:val="left"/>
            </w:pPr>
            <w:r>
              <w:t>What adjustments are made for children with SEND</w:t>
            </w:r>
          </w:p>
          <w:p>
            <w:pPr>
              <w:pStyle w:val="21"/>
              <w:numPr>
                <w:ilvl w:val="0"/>
                <w:numId w:val="24"/>
              </w:numPr>
              <w:jc w:val="left"/>
            </w:pPr>
            <w:r>
              <w:t xml:space="preserve">Any partners you work with </w:t>
            </w:r>
          </w:p>
        </w:tc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 xml:space="preserve">All pupils have the same access to music lessons. </w:t>
            </w:r>
          </w:p>
          <w:p>
            <w:pPr>
              <w:jc w:val="left"/>
              <w:rPr>
                <w:rFonts w:hint="default"/>
                <w:lang w:val="en-GB"/>
              </w:rPr>
            </w:pPr>
          </w:p>
          <w:p>
            <w:pPr>
              <w:jc w:val="left"/>
            </w:pPr>
            <w:r>
              <w:rPr>
                <w:rFonts w:hint="default"/>
                <w:lang w:val="en-GB"/>
              </w:rPr>
              <w:t xml:space="preserve">Lessons are made accessible through differentiation and TA support. 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4"/>
              </w:numPr>
              <w:jc w:val="left"/>
            </w:pPr>
            <w:r>
              <w:t>for this (Music Hub, OHMI)</w:t>
            </w:r>
          </w:p>
          <w:p>
            <w:pPr>
              <w:jc w:val="left"/>
            </w:pPr>
          </w:p>
        </w:tc>
        <w:tc>
          <w:tcPr>
            <w:tcW w:w="199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27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center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dxa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Religion</w:t>
            </w:r>
          </w:p>
        </w:tc>
        <w:tc>
          <w:tcPr>
            <w:tcW w:w="3537" w:type="dxa"/>
          </w:tcPr>
          <w:p>
            <w:pPr>
              <w:jc w:val="left"/>
            </w:pPr>
            <w:r>
              <w:t>How families’ religious beliefs and wishes are met in respect of Music</w:t>
            </w:r>
          </w:p>
        </w:tc>
        <w:tc>
          <w:tcPr>
            <w:tcW w:w="1995" w:type="dxa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</w:tcPr>
          <w:p>
            <w:pPr>
              <w:jc w:val="left"/>
            </w:pPr>
          </w:p>
        </w:tc>
        <w:tc>
          <w:tcPr>
            <w:tcW w:w="2775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27" w:type="dxa"/>
            <w:tcBorders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</w:tblPrEx>
        <w:trPr>
          <w:trHeight w:val="1080" w:hRule="atLeast"/>
        </w:trPr>
        <w:tc>
          <w:tcPr>
            <w:tcW w:w="1839" w:type="dxa"/>
            <w:vMerge w:val="restart"/>
            <w:shd w:val="clear" w:color="auto" w:fill="CCCCCC" w:themeFill="text1" w:themeFillTint="33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b/>
                <w:bCs/>
              </w:rPr>
              <w:t>Financial hardship</w:t>
            </w:r>
          </w:p>
        </w:tc>
        <w:tc>
          <w:tcPr>
            <w:tcW w:w="353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5"/>
              </w:numPr>
              <w:jc w:val="left"/>
            </w:pPr>
            <w:r>
              <w:t>Remissions policies for extension and enrichment activities (such as concert trips, Young Voices etc)</w:t>
            </w:r>
          </w:p>
        </w:tc>
        <w:tc>
          <w:tcPr>
            <w:tcW w:w="199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775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39" w:type="dxa"/>
            <w:vMerge w:val="continue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1"/>
              <w:numPr>
                <w:ilvl w:val="0"/>
                <w:numId w:val="25"/>
              </w:numPr>
              <w:jc w:val="left"/>
            </w:pPr>
            <w:r>
              <w:t>Remissions policy for choirs, ensembles and instrumental/vocal tuition</w:t>
            </w:r>
          </w:p>
          <w:p>
            <w:pPr>
              <w:pStyle w:val="21"/>
              <w:jc w:val="left"/>
            </w:pPr>
          </w:p>
        </w:tc>
        <w:tc>
          <w:tcPr>
            <w:tcW w:w="19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  <w:tc>
          <w:tcPr>
            <w:tcW w:w="182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</w:pPr>
          </w:p>
        </w:tc>
      </w:tr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39" w:type="dxa"/>
            <w:vMerge w:val="continue"/>
            <w:shd w:val="clear" w:color="auto" w:fill="CCCCCC" w:themeFill="text1" w:themeFillTint="33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3537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pStyle w:val="21"/>
              <w:numPr>
                <w:ilvl w:val="0"/>
                <w:numId w:val="25"/>
              </w:numPr>
              <w:jc w:val="left"/>
            </w:pPr>
            <w:r>
              <w:t>How Pupil Premium is used for Music</w:t>
            </w:r>
          </w:p>
          <w:p>
            <w:pPr>
              <w:jc w:val="left"/>
            </w:pPr>
          </w:p>
        </w:tc>
        <w:tc>
          <w:tcPr>
            <w:tcW w:w="199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  <w:rPr>
                <w:rFonts w:hint="default"/>
                <w:lang w:val="en-GB"/>
              </w:rPr>
            </w:pPr>
            <w:r>
              <w:rPr>
                <w:rFonts w:hint="default"/>
                <w:lang w:val="en-GB"/>
              </w:rPr>
              <w:t>-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2775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</w:tc>
        <w:tc>
          <w:tcPr>
            <w:tcW w:w="1827" w:type="dxa"/>
            <w:tcBorders>
              <w:top w:val="single" w:color="auto" w:sz="4" w:space="0"/>
            </w:tcBorders>
            <w:shd w:val="clear" w:color="auto" w:fill="CCCCCC" w:themeFill="text1" w:themeFillTint="33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/>
    <w:p/>
    <w:tbl>
      <w:tblPr>
        <w:tblStyle w:val="27"/>
        <w:tblW w:w="0" w:type="auto"/>
        <w:tblInd w:w="0" w:type="dxa"/>
        <w:tblBorders>
          <w:top w:val="single" w:color="666666" w:themeColor="text1" w:themeTint="99" w:sz="2" w:space="0"/>
          <w:left w:val="none" w:color="auto" w:sz="0" w:space="0"/>
          <w:bottom w:val="single" w:color="666666" w:themeColor="text1" w:themeTint="99" w:sz="2" w:space="0"/>
          <w:right w:val="none" w:color="auto" w:sz="0" w:space="0"/>
          <w:insideH w:val="single" w:color="666666" w:themeColor="text1" w:themeTint="99" w:sz="2" w:space="0"/>
          <w:insideV w:val="single" w:color="666666" w:themeColor="tex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3558"/>
        <w:gridCol w:w="1057"/>
        <w:gridCol w:w="1908"/>
        <w:gridCol w:w="1690"/>
        <w:gridCol w:w="2308"/>
        <w:gridCol w:w="1933"/>
        <w:gridCol w:w="1091"/>
      </w:tblGrid>
      <w:tr>
        <w:tblPrEx>
          <w:tblBorders>
            <w:top w:val="single" w:color="666666" w:themeColor="text1" w:themeTint="99" w:sz="2" w:space="0"/>
            <w:left w:val="none" w:color="auto" w:sz="0" w:space="0"/>
            <w:bottom w:val="single" w:color="666666" w:themeColor="text1" w:themeTint="99" w:sz="2" w:space="0"/>
            <w:right w:val="none" w:color="auto" w:sz="0" w:space="0"/>
            <w:insideH w:val="single" w:color="666666" w:themeColor="text1" w:themeTint="99" w:sz="2" w:space="0"/>
            <w:insideV w:val="single" w:color="666666" w:themeColor="tex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3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3558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057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08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690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2308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933" w:type="dxa"/>
            <w:tcBorders>
              <w:top w:val="nil"/>
              <w:bottom w:val="single" w:color="666666" w:themeColor="tex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091" w:type="dxa"/>
            <w:tcBorders>
              <w:top w:val="nil"/>
              <w:bottom w:val="single" w:color="666666" w:themeColor="text1" w:themeTint="99" w:sz="12" w:space="0"/>
              <w:insideH w:val="single" w:sz="12" w:space="0"/>
              <w:insideV w:val="nil"/>
            </w:tcBorders>
            <w:shd w:val="clear" w:color="auto" w:fill="FFFFFF" w:themeFill="background1"/>
          </w:tcPr>
          <w:p>
            <w:pPr>
              <w:jc w:val="left"/>
              <w:rPr>
                <w:b/>
                <w:bCs/>
              </w:rPr>
            </w:pPr>
          </w:p>
        </w:tc>
      </w:tr>
    </w:tbl>
    <w:p>
      <w:pPr>
        <w:rPr>
          <w:rFonts w:cstheme="minorHAnsi"/>
          <w:sz w:val="40"/>
          <w:szCs w:val="40"/>
          <w:u w:val="single"/>
        </w:rPr>
      </w:pPr>
    </w:p>
    <w:p>
      <w:pPr>
        <w:rPr>
          <w:rFonts w:cstheme="minorHAnsi"/>
          <w:sz w:val="40"/>
          <w:szCs w:val="40"/>
          <w:u w:val="single"/>
        </w:rPr>
      </w:pPr>
      <w:r>
        <w:rPr>
          <w:rFonts w:cstheme="minorHAnsi"/>
          <w:sz w:val="40"/>
          <w:szCs w:val="40"/>
          <w:u w:val="single"/>
        </w:rPr>
        <w:t>Pulling Together Your Actions and Progress</w:t>
      </w:r>
    </w:p>
    <w:p>
      <w:pPr>
        <w:rPr>
          <w:rFonts w:cstheme="minorHAnsi"/>
          <w:sz w:val="40"/>
          <w:szCs w:val="40"/>
          <w:u w:val="single"/>
        </w:rPr>
      </w:pPr>
    </w:p>
    <w:p>
      <w:pPr>
        <w:rPr>
          <w:rFonts w:cstheme="minorHAnsi"/>
        </w:rPr>
      </w:pPr>
      <w:r>
        <w:rPr>
          <w:rFonts w:cstheme="minorHAnsi"/>
        </w:rPr>
        <w:t>If you have identified actions as a result of completing this plan, it may be useful to keep a working table of how these are being addressed. This will make it easier to monitor and report on to senior leaders, Ofsted (in the event of a deep dive) etc.</w:t>
      </w:r>
    </w:p>
    <w:p/>
    <w:p>
      <w:pPr>
        <w:pStyle w:val="3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2745"/>
        <w:gridCol w:w="2552"/>
        <w:gridCol w:w="5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87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Identified</w:t>
            </w:r>
          </w:p>
        </w:tc>
        <w:tc>
          <w:tcPr>
            <w:tcW w:w="274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to be Achieved</w:t>
            </w:r>
          </w:p>
        </w:tc>
        <w:tc>
          <w:tcPr>
            <w:tcW w:w="2552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Who is monitoring</w:t>
            </w:r>
          </w:p>
        </w:tc>
        <w:tc>
          <w:tcPr>
            <w:tcW w:w="516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Outcome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Ensure that the statuary 1 hour a music per week is being delivered - including singing assembly time</w:t>
            </w:r>
          </w:p>
        </w:tc>
        <w:tc>
          <w:tcPr>
            <w:tcW w:w="274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July 2025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AH</w:t>
            </w:r>
          </w:p>
        </w:tc>
        <w:tc>
          <w:tcPr>
            <w:tcW w:w="516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 xml:space="preserve">Pupils we have a better understanding of music and a more holistic progression of skills throughout the school.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 xml:space="preserve">Develop a singing assembly plan that fits with our foundation subjects spiral curriculum. </w:t>
            </w:r>
          </w:p>
        </w:tc>
        <w:tc>
          <w:tcPr>
            <w:tcW w:w="274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July 2025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AH</w:t>
            </w:r>
          </w:p>
        </w:tc>
        <w:tc>
          <w:tcPr>
            <w:tcW w:w="516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 xml:space="preserve">Music lessons will have better links to other classroom based learning, giving the pupils a better understanding.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Develop a consistent approach to the recording and assessment of pupils within music</w:t>
            </w:r>
          </w:p>
        </w:tc>
        <w:tc>
          <w:tcPr>
            <w:tcW w:w="274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July 2025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AH</w:t>
            </w:r>
          </w:p>
        </w:tc>
        <w:tc>
          <w:tcPr>
            <w:tcW w:w="516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 xml:space="preserve">Be able to record and analysis pupils progress to ensure that they are meeting the curriculum expectations.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7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 xml:space="preserve">Seek out more outside agencies to offer music based activity days - Look into world music that might have links to our geography or PSHE topics.. </w:t>
            </w:r>
          </w:p>
        </w:tc>
        <w:tc>
          <w:tcPr>
            <w:tcW w:w="2745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July 2025</w:t>
            </w:r>
          </w:p>
        </w:tc>
        <w:tc>
          <w:tcPr>
            <w:tcW w:w="2552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AH</w:t>
            </w:r>
          </w:p>
        </w:tc>
        <w:tc>
          <w:tcPr>
            <w:tcW w:w="5164" w:type="dxa"/>
          </w:tcPr>
          <w:p>
            <w:pPr>
              <w:rPr>
                <w:rFonts w:hint="default"/>
                <w:b/>
                <w:bCs/>
                <w:sz w:val="28"/>
                <w:szCs w:val="28"/>
                <w:lang w:val="en-GB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en-GB"/>
              </w:rPr>
              <w:t>Giving pupils a broader understanding of music from around the world.</w:t>
            </w:r>
          </w:p>
        </w:tc>
      </w:tr>
    </w:tbl>
    <w:p/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cdd34f5fa399be539b9183ce" descr="{&quot;HashCode&quot;:-1399272816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MSIPCMcdd34f5fa399be539b9183ce" o:spid="_x0000_s1026" o:spt="202" alt="{&quot;HashCode&quot;:-1399272816,&quot;Height&quot;:595.0,&quot;Width&quot;:841.0,&quot;Placement&quot;:&quot;Footer&quot;,&quot;Index&quot;:&quot;Primary&quot;,&quot;Section&quot;:1,&quot;Top&quot;:0.0,&quot;Left&quot;:0.0}" type="#_x0000_t202" style="position:absolute;left:0pt;margin-left:0pt;margin-top:558.75pt;height:21.5pt;width:841.9pt;mso-position-horizontal-relative:page;mso-position-vertical-relative:page;z-index:251659264;v-text-anchor:bottom;mso-width-relative:page;mso-height-relative:page;" filled="f" stroked="f" coordsize="21600,21600" o:allowincell="f" o:gfxdata="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FldYpjYAAAACwEAAA8AAAAAAAAAAQAgAAAAIgAAAGRycy9kb3du&#10;cmV2LnhtbFBLAQIUABQAAAAIAIdO4kAFIN6hqgIAAFwFAAAOAAAAAAAAAAEAIAAAACcBAABkcnMv&#10;ZTJvRG9jLnhtbFBLBQYAAAAABgAGAFkBAABDBgAAAAA=&#10;">
              <v:fill on="f" focussize="0,0"/>
              <v:stroke on="f" weight="0.5pt"/>
              <v:imagedata o:title=""/>
              <o:lock v:ext="edit" aspectratio="f"/>
              <v:textbox inset="2.54mm,0mm,2.54mm,0mm">
                <w:txbxContent>
                  <w:p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94684"/>
    <w:multiLevelType w:val="multilevel"/>
    <w:tmpl w:val="003946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F526958"/>
    <w:multiLevelType w:val="multilevel"/>
    <w:tmpl w:val="0F5269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491D17"/>
    <w:multiLevelType w:val="multilevel"/>
    <w:tmpl w:val="13491D1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D86C7D"/>
    <w:multiLevelType w:val="multilevel"/>
    <w:tmpl w:val="13D86C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5C31766"/>
    <w:multiLevelType w:val="multilevel"/>
    <w:tmpl w:val="15C3176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64E69EA"/>
    <w:multiLevelType w:val="multilevel"/>
    <w:tmpl w:val="164E69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44074AE"/>
    <w:multiLevelType w:val="multilevel"/>
    <w:tmpl w:val="244074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CE32CDC"/>
    <w:multiLevelType w:val="multilevel"/>
    <w:tmpl w:val="2CE32CD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DF961B6"/>
    <w:multiLevelType w:val="multilevel"/>
    <w:tmpl w:val="2DF961B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EAA5B5D"/>
    <w:multiLevelType w:val="multilevel"/>
    <w:tmpl w:val="2EAA5B5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E0D2E96"/>
    <w:multiLevelType w:val="multilevel"/>
    <w:tmpl w:val="3E0D2E9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50C1858"/>
    <w:multiLevelType w:val="multilevel"/>
    <w:tmpl w:val="450C18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A9E59E2"/>
    <w:multiLevelType w:val="multilevel"/>
    <w:tmpl w:val="4A9E59E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C6B6C77"/>
    <w:multiLevelType w:val="multilevel"/>
    <w:tmpl w:val="4C6B6C7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1EB77BA"/>
    <w:multiLevelType w:val="multilevel"/>
    <w:tmpl w:val="51EB77B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703638F"/>
    <w:multiLevelType w:val="multilevel"/>
    <w:tmpl w:val="5703638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CAB4F34"/>
    <w:multiLevelType w:val="multilevel"/>
    <w:tmpl w:val="5CAB4F3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00C6990"/>
    <w:multiLevelType w:val="multilevel"/>
    <w:tmpl w:val="600C69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47A5AE2"/>
    <w:multiLevelType w:val="multilevel"/>
    <w:tmpl w:val="647A5AE2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D3BB3"/>
    <w:multiLevelType w:val="multilevel"/>
    <w:tmpl w:val="716D3BB3"/>
    <w:lvl w:ilvl="0" w:tentative="0">
      <w:start w:val="1"/>
      <w:numFmt w:val="bullet"/>
      <w:pStyle w:val="16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4275C23"/>
    <w:multiLevelType w:val="multilevel"/>
    <w:tmpl w:val="74275C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5505FFF"/>
    <w:multiLevelType w:val="multilevel"/>
    <w:tmpl w:val="75505FF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955022D"/>
    <w:multiLevelType w:val="multilevel"/>
    <w:tmpl w:val="795502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BF11BF6"/>
    <w:multiLevelType w:val="multilevel"/>
    <w:tmpl w:val="7BF11B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DC3739B"/>
    <w:multiLevelType w:val="multilevel"/>
    <w:tmpl w:val="7DC3739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3"/>
  </w:num>
  <w:num w:numId="5">
    <w:abstractNumId w:val="2"/>
  </w:num>
  <w:num w:numId="6">
    <w:abstractNumId w:val="16"/>
  </w:num>
  <w:num w:numId="7">
    <w:abstractNumId w:val="24"/>
  </w:num>
  <w:num w:numId="8">
    <w:abstractNumId w:val="23"/>
  </w:num>
  <w:num w:numId="9">
    <w:abstractNumId w:val="9"/>
  </w:num>
  <w:num w:numId="10">
    <w:abstractNumId w:val="1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0"/>
  </w:num>
  <w:num w:numId="16">
    <w:abstractNumId w:val="3"/>
  </w:num>
  <w:num w:numId="17">
    <w:abstractNumId w:val="6"/>
  </w:num>
  <w:num w:numId="18">
    <w:abstractNumId w:val="4"/>
  </w:num>
  <w:num w:numId="19">
    <w:abstractNumId w:val="15"/>
  </w:num>
  <w:num w:numId="20">
    <w:abstractNumId w:val="17"/>
  </w:num>
  <w:num w:numId="21">
    <w:abstractNumId w:val="7"/>
  </w:num>
  <w:num w:numId="22">
    <w:abstractNumId w:val="21"/>
  </w:num>
  <w:num w:numId="23">
    <w:abstractNumId w:val="18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6C"/>
    <w:rsid w:val="00000700"/>
    <w:rsid w:val="00025143"/>
    <w:rsid w:val="00052D5A"/>
    <w:rsid w:val="00063903"/>
    <w:rsid w:val="000A5C66"/>
    <w:rsid w:val="000F33CE"/>
    <w:rsid w:val="00145C55"/>
    <w:rsid w:val="00170014"/>
    <w:rsid w:val="001C4714"/>
    <w:rsid w:val="002373DD"/>
    <w:rsid w:val="002B4BE3"/>
    <w:rsid w:val="002D41A8"/>
    <w:rsid w:val="00324CCC"/>
    <w:rsid w:val="00353D5A"/>
    <w:rsid w:val="00376B72"/>
    <w:rsid w:val="00390B92"/>
    <w:rsid w:val="003A7E64"/>
    <w:rsid w:val="003D1136"/>
    <w:rsid w:val="003D154F"/>
    <w:rsid w:val="00413454"/>
    <w:rsid w:val="0042028B"/>
    <w:rsid w:val="004375AD"/>
    <w:rsid w:val="004631DF"/>
    <w:rsid w:val="00497EBE"/>
    <w:rsid w:val="004B5DA0"/>
    <w:rsid w:val="004D140C"/>
    <w:rsid w:val="005372CC"/>
    <w:rsid w:val="005C2078"/>
    <w:rsid w:val="005D0C89"/>
    <w:rsid w:val="005E58D1"/>
    <w:rsid w:val="005E6FEB"/>
    <w:rsid w:val="006462DA"/>
    <w:rsid w:val="0065502E"/>
    <w:rsid w:val="00676021"/>
    <w:rsid w:val="006A0BDC"/>
    <w:rsid w:val="006C5727"/>
    <w:rsid w:val="00711169"/>
    <w:rsid w:val="007D5DEA"/>
    <w:rsid w:val="007E6AF6"/>
    <w:rsid w:val="007F5EBE"/>
    <w:rsid w:val="007F5F14"/>
    <w:rsid w:val="00804B8E"/>
    <w:rsid w:val="00896EEF"/>
    <w:rsid w:val="00932B16"/>
    <w:rsid w:val="009722C7"/>
    <w:rsid w:val="00991AF9"/>
    <w:rsid w:val="009A6B1E"/>
    <w:rsid w:val="009B7E45"/>
    <w:rsid w:val="00AB1695"/>
    <w:rsid w:val="00AB6460"/>
    <w:rsid w:val="00AC5BEF"/>
    <w:rsid w:val="00AF78AA"/>
    <w:rsid w:val="00B21598"/>
    <w:rsid w:val="00B24FDA"/>
    <w:rsid w:val="00B44091"/>
    <w:rsid w:val="00BB0C41"/>
    <w:rsid w:val="00BC547A"/>
    <w:rsid w:val="00BD106C"/>
    <w:rsid w:val="00C6323F"/>
    <w:rsid w:val="00C65822"/>
    <w:rsid w:val="00C93FFF"/>
    <w:rsid w:val="00CA3F12"/>
    <w:rsid w:val="00CD4EC2"/>
    <w:rsid w:val="00D362A7"/>
    <w:rsid w:val="00D451B0"/>
    <w:rsid w:val="00D75FB8"/>
    <w:rsid w:val="00DB5B4F"/>
    <w:rsid w:val="00DC17D5"/>
    <w:rsid w:val="00DC78D9"/>
    <w:rsid w:val="00DE2B9C"/>
    <w:rsid w:val="00DE3F4F"/>
    <w:rsid w:val="00E316CA"/>
    <w:rsid w:val="00E45FE8"/>
    <w:rsid w:val="00E81DE4"/>
    <w:rsid w:val="00EB1456"/>
    <w:rsid w:val="00EB7184"/>
    <w:rsid w:val="00F66021"/>
    <w:rsid w:val="00F82E00"/>
    <w:rsid w:val="00FF08A3"/>
    <w:rsid w:val="15AA09F3"/>
    <w:rsid w:val="2CD1088D"/>
    <w:rsid w:val="371D1D3E"/>
    <w:rsid w:val="3BCF3DED"/>
    <w:rsid w:val="3F2A3832"/>
    <w:rsid w:val="3F6A32B4"/>
    <w:rsid w:val="64F7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2"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513"/>
        <w:tab w:val="right" w:pos="9026"/>
      </w:tabs>
    </w:pPr>
  </w:style>
  <w:style w:type="character" w:styleId="10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Subtitle"/>
    <w:basedOn w:val="1"/>
    <w:next w:val="1"/>
    <w:link w:val="20"/>
    <w:qFormat/>
    <w:uiPriority w:val="11"/>
    <w:pPr>
      <w:spacing w:after="160"/>
    </w:pPr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2">
    <w:name w:val="Table Grid"/>
    <w:basedOn w:val="5"/>
    <w:qFormat/>
    <w:uiPriority w:val="39"/>
    <w:pPr>
      <w:spacing w:after="0" w:line="240" w:lineRule="auto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link w:val="17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4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5">
    <w:name w:val="Heading 2 Char"/>
    <w:basedOn w:val="4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customStyle="1" w:styleId="16">
    <w:name w:val="GG Bullet"/>
    <w:qFormat/>
    <w:uiPriority w:val="0"/>
    <w:pPr>
      <w:numPr>
        <w:ilvl w:val="0"/>
        <w:numId w:val="1"/>
      </w:numPr>
      <w:spacing w:after="0" w:line="240" w:lineRule="auto"/>
      <w:jc w:val="both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customStyle="1" w:styleId="17">
    <w:name w:val="Title Char"/>
    <w:basedOn w:val="4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er Char"/>
    <w:basedOn w:val="4"/>
    <w:link w:val="9"/>
    <w:qFormat/>
    <w:uiPriority w:val="99"/>
  </w:style>
  <w:style w:type="character" w:customStyle="1" w:styleId="19">
    <w:name w:val="Footer Char"/>
    <w:basedOn w:val="4"/>
    <w:link w:val="8"/>
    <w:qFormat/>
    <w:uiPriority w:val="99"/>
  </w:style>
  <w:style w:type="character" w:customStyle="1" w:styleId="20">
    <w:name w:val="Subtitle Char"/>
    <w:basedOn w:val="4"/>
    <w:link w:val="11"/>
    <w:qFormat/>
    <w:uiPriority w:val="11"/>
    <w:rPr>
      <w:rFonts w:eastAsiaTheme="minorEastAsia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Comment Text Char"/>
    <w:basedOn w:val="4"/>
    <w:link w:val="6"/>
    <w:qFormat/>
    <w:uiPriority w:val="99"/>
    <w:rPr>
      <w:sz w:val="20"/>
      <w:szCs w:val="20"/>
    </w:rPr>
  </w:style>
  <w:style w:type="character" w:customStyle="1" w:styleId="23">
    <w:name w:val="Comment Subject Char"/>
    <w:basedOn w:val="22"/>
    <w:link w:val="7"/>
    <w:semiHidden/>
    <w:qFormat/>
    <w:uiPriority w:val="99"/>
    <w:rPr>
      <w:b/>
      <w:bCs/>
      <w:sz w:val="20"/>
      <w:szCs w:val="20"/>
    </w:rPr>
  </w:style>
  <w:style w:type="character" w:customStyle="1" w:styleId="24">
    <w:name w:val="Intense Emphasis"/>
    <w:basedOn w:val="4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5">
    <w:name w:val="Intense Reference"/>
    <w:basedOn w:val="4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paragraph" w:styleId="2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table" w:customStyle="1" w:styleId="27">
    <w:name w:val="Grid Table 2"/>
    <w:basedOn w:val="5"/>
    <w:qFormat/>
    <w:uiPriority w:val="47"/>
    <w:pPr>
      <w:spacing w:after="0"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047996-4a75-4cb8-b9e5-7a48b01288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015A79A34D14FA4FA8F8160EF5B30" ma:contentTypeVersion="18" ma:contentTypeDescription="Create a new document." ma:contentTypeScope="" ma:versionID="354c337b148ce4d793ab64a21ef5b77b">
  <xsd:schema xmlns:xsd="http://www.w3.org/2001/XMLSchema" xmlns:xs="http://www.w3.org/2001/XMLSchema" xmlns:p="http://schemas.microsoft.com/office/2006/metadata/properties" xmlns:ns3="4ff11ea8-dd28-4503-a603-6fbb47e3db80" xmlns:ns4="2f047996-4a75-4cb8-b9e5-7a48b01288dd" targetNamespace="http://schemas.microsoft.com/office/2006/metadata/properties" ma:root="true" ma:fieldsID="634a58a909595a0019dfa1652c450521" ns3:_="" ns4:_="">
    <xsd:import namespace="4ff11ea8-dd28-4503-a603-6fbb47e3db80"/>
    <xsd:import namespace="2f047996-4a75-4cb8-b9e5-7a48b01288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1ea8-dd28-4503-a603-6fbb47e3d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47996-4a75-4cb8-b9e5-7a48b012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31FF8-3212-4DA9-A534-00F5A2CD2596}">
  <ds:schemaRefs/>
</ds:datastoreItem>
</file>

<file path=customXml/itemProps3.xml><?xml version="1.0" encoding="utf-8"?>
<ds:datastoreItem xmlns:ds="http://schemas.openxmlformats.org/officeDocument/2006/customXml" ds:itemID="{90BB0ADE-47BD-4DCD-97DD-23F2F3F6C752}">
  <ds:schemaRefs/>
</ds:datastoreItem>
</file>

<file path=customXml/itemProps4.xml><?xml version="1.0" encoding="utf-8"?>
<ds:datastoreItem xmlns:ds="http://schemas.openxmlformats.org/officeDocument/2006/customXml" ds:itemID="{A9BB9BAC-CAE6-4AB7-B1DB-D4E651A196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North Yorkshire County Council</Company>
  <Pages>4</Pages>
  <Words>1633</Words>
  <Characters>9314</Characters>
  <Lines>77</Lines>
  <Paragraphs>21</Paragraphs>
  <TotalTime>0</TotalTime>
  <ScaleCrop>false</ScaleCrop>
  <LinksUpToDate>false</LinksUpToDate>
  <CharactersWithSpaces>10926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2024-06-12T10:51:00Z</dcterms:created>
  <dc:creator>Ian Bangay</dc:creator>
  <cp:lastModifiedBy>Andrew Howarth</cp:lastModifiedBy>
  <dcterms:modified xsi:type="dcterms:W3CDTF">2024-09-24T15:05:56Z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2023-12-13T11:32:56Z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f04547f0-bf52-4f35-a554-00000ea99a04</vt:lpwstr>
  </property>
  <property fmtid="{D5CDD505-2E9C-101B-9397-08002B2CF9AE}" pid="8" name="MSIP_Label_3ecdfc32-7be5-4b17-9f97-00453388bdd7_ContentBits">
    <vt:lpwstr>2</vt:lpwstr>
  </property>
  <property fmtid="{D5CDD505-2E9C-101B-9397-08002B2CF9AE}" pid="9" name="ContentTypeId">
    <vt:lpwstr>0x01010085D015A79A34D14FA4FA8F8160EF5B30</vt:lpwstr>
  </property>
  <property fmtid="{D5CDD505-2E9C-101B-9397-08002B2CF9AE}" pid="10" name="KSOProductBuildVer">
    <vt:lpwstr>2057-11.2.0.11537</vt:lpwstr>
  </property>
  <property fmtid="{D5CDD505-2E9C-101B-9397-08002B2CF9AE}" pid="11" name="ICV">
    <vt:lpwstr>B8311F84FE5F49389FD3FA999127CF13</vt:lpwstr>
  </property>
</Properties>
</file>